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0"/>
          <w:tab w:val="right" w:pos="13323"/>
        </w:tabs>
        <w:spacing w:after="0"/>
        <w:rPr>
          <w:rFonts w:hint="default" w:ascii="Arial" w:hAnsi="Arial" w:cs="Arial"/>
          <w:b/>
          <w:sz w:val="24"/>
          <w:szCs w:val="24"/>
          <w:lang w:val="en-US" w:eastAsia="ja-JP"/>
        </w:rPr>
      </w:pPr>
      <w:bookmarkStart w:id="0" w:name="_Hlt448930105"/>
      <w:bookmarkEnd w:id="0"/>
      <w:bookmarkStart w:id="1" w:name="_Hlt450066085"/>
      <w:bookmarkEnd w:id="1"/>
      <w:bookmarkStart w:id="2" w:name="_Hlt449016246"/>
      <w:bookmarkEnd w:id="2"/>
      <w:bookmarkStart w:id="3" w:name="_Hlt450066087"/>
      <w:bookmarkEnd w:id="3"/>
      <w:bookmarkStart w:id="4" w:name="_Hlt450051172"/>
      <w:bookmarkEnd w:id="4"/>
      <w:bookmarkStart w:id="5" w:name="_Hlt450039480"/>
      <w:bookmarkEnd w:id="5"/>
      <w:r>
        <w:rPr>
          <w:rFonts w:ascii="Arial" w:hAnsi="Arial" w:cs="Arial"/>
          <w:b/>
          <w:sz w:val="24"/>
          <w:szCs w:val="24"/>
        </w:rPr>
        <w:t>3GPP TSG-RAN WG4 Meeting #114</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0</w:t>
      </w:r>
      <w:r>
        <w:rPr>
          <w:rFonts w:hint="eastAsia" w:ascii="Arial" w:hAnsi="Arial" w:cs="Arial"/>
          <w:b/>
          <w:color w:val="000000"/>
          <w:sz w:val="24"/>
          <w:szCs w:val="24"/>
          <w:lang w:val="en-US" w:eastAsia="zh-CN"/>
        </w:rPr>
        <w:t>0603</w:t>
      </w:r>
    </w:p>
    <w:p>
      <w:pPr>
        <w:rPr>
          <w:rFonts w:ascii="Arial" w:hAnsi="Arial" w:cs="Arial"/>
          <w:b/>
          <w:sz w:val="24"/>
          <w:szCs w:val="24"/>
          <w:lang w:eastAsia="zh-CN"/>
        </w:rPr>
      </w:pPr>
      <w:r>
        <w:rPr>
          <w:rFonts w:ascii="Arial" w:hAnsi="Arial" w:cs="Arial"/>
          <w:b/>
          <w:sz w:val="24"/>
          <w:szCs w:val="24"/>
          <w:lang w:eastAsia="zh-CN"/>
        </w:rPr>
        <w:t>Athens, Greece, 17</w:t>
      </w:r>
      <w:r>
        <w:rPr>
          <w:rFonts w:ascii="Arial" w:hAnsi="Arial" w:cs="Arial"/>
          <w:b/>
          <w:sz w:val="24"/>
          <w:szCs w:val="24"/>
          <w:vertAlign w:val="superscript"/>
          <w:lang w:eastAsia="zh-CN"/>
        </w:rPr>
        <w:t>th</w:t>
      </w:r>
      <w:r>
        <w:rPr>
          <w:rFonts w:ascii="Arial" w:hAnsi="Arial" w:cs="Arial"/>
          <w:b/>
          <w:sz w:val="24"/>
          <w:szCs w:val="24"/>
          <w:lang w:eastAsia="zh-CN"/>
        </w:rPr>
        <w:t xml:space="preserve"> – 21</w:t>
      </w:r>
      <w:r>
        <w:rPr>
          <w:rFonts w:ascii="Arial" w:hAnsi="Arial" w:cs="Arial"/>
          <w:b/>
          <w:sz w:val="24"/>
          <w:szCs w:val="24"/>
          <w:vertAlign w:val="superscript"/>
          <w:lang w:eastAsia="zh-CN"/>
        </w:rPr>
        <w:t>st</w:t>
      </w:r>
      <w:r>
        <w:rPr>
          <w:rFonts w:ascii="Arial" w:hAnsi="Arial" w:cs="Arial"/>
          <w:b/>
          <w:sz w:val="24"/>
          <w:szCs w:val="24"/>
          <w:lang w:eastAsia="zh-CN"/>
        </w:rPr>
        <w:t xml:space="preserve"> February 2025</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14"/>
      <w:bookmarkStart w:id="7" w:name="OLE_LINK8"/>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6"/>
      <w:bookmarkEnd w:id="7"/>
      <w:r>
        <w:rPr>
          <w:rStyle w:val="60"/>
          <w:rFonts w:hint="eastAsia"/>
          <w:b/>
          <w:highlight w:val="none"/>
          <w:lang w:val="en-US" w:eastAsia="zh-CN"/>
        </w:rPr>
        <w:t>power domain enhancements for single carrier</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7.1.1.2.1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default"/>
          <w:i w:val="0"/>
          <w:iCs w:val="0"/>
          <w:sz w:val="20"/>
          <w:szCs w:val="20"/>
          <w:lang w:val="en-US" w:eastAsia="zh-CN"/>
        </w:rPr>
        <w:t>In RAN#102 meeting, a new Work Item [1] was approved on UE RF enhancements for NR FR1/FR2 and EN-DC, Phase 4, one of the objectives is about power boosting and/or MPR reduction as follows. In this contribution, we want to share some further views on power domain enhancements for single carrier.</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Specify</w:t>
            </w:r>
            <w:r>
              <w:rPr>
                <w:rFonts w:ascii="Times New Roman" w:hAnsi="Times New Roman" w:cs="Times New Roman"/>
                <w:sz w:val="20"/>
                <w:szCs w:val="20"/>
              </w:rPr>
              <w:t xml:space="preserve"> power domain enhancement, e.g., MPR reduction for NR single carrier and NR intra-band UL CA</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Study </w:t>
            </w:r>
            <w:r>
              <w:rPr>
                <w:rFonts w:ascii="Times New Roman" w:hAnsi="Times New Roman" w:cs="Times New Roman"/>
                <w:sz w:val="20"/>
                <w:szCs w:val="20"/>
              </w:rPr>
              <w:t xml:space="preserve">the scenarios, </w:t>
            </w:r>
            <w:r>
              <w:rPr>
                <w:rFonts w:hint="eastAsia" w:ascii="Times New Roman" w:hAnsi="Times New Roman" w:cs="Times New Roman"/>
                <w:sz w:val="20"/>
                <w:szCs w:val="20"/>
              </w:rPr>
              <w:t>and</w:t>
            </w:r>
            <w:r>
              <w:rPr>
                <w:rFonts w:ascii="Times New Roman" w:hAnsi="Times New Roman" w:cs="Times New Roman"/>
                <w:sz w:val="20"/>
                <w:szCs w:val="20"/>
              </w:rPr>
              <w:t xml:space="preserve"> if feasible,</w:t>
            </w:r>
            <w:r>
              <w:rPr>
                <w:rFonts w:hint="eastAsia" w:ascii="Times New Roman" w:hAnsi="Times New Roman" w:cs="Times New Roman"/>
                <w:sz w:val="20"/>
                <w:szCs w:val="20"/>
              </w:rPr>
              <w:t xml:space="preserve"> sp</w:t>
            </w:r>
            <w:r>
              <w:rPr>
                <w:rFonts w:ascii="Times New Roman" w:hAnsi="Times New Roman" w:cs="Times New Roman"/>
                <w:sz w:val="20"/>
                <w:szCs w:val="20"/>
              </w:rPr>
              <w:t>ecify the power domain enhancement, e.g., MPR reduction, for PC2 and PC3 with applicable ACLR/SEM/spurious emission modification with BS indication for NR FR1 on a single UL carrier</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t</w:t>
            </w:r>
            <w:r>
              <w:rPr>
                <w:rFonts w:hint="eastAsia" w:ascii="Times New Roman" w:hAnsi="Times New Roman" w:cs="Times New Roman"/>
                <w:sz w:val="20"/>
                <w:szCs w:val="20"/>
              </w:rPr>
              <w:t xml:space="preserve">he </w:t>
            </w:r>
            <w:bookmarkStart w:id="8" w:name="OLE_LINK6"/>
            <w:r>
              <w:rPr>
                <w:rFonts w:hint="eastAsia" w:ascii="Times New Roman" w:hAnsi="Times New Roman" w:cs="Times New Roman"/>
                <w:sz w:val="20"/>
                <w:szCs w:val="20"/>
              </w:rPr>
              <w:t>following scenarios</w:t>
            </w:r>
            <w:r>
              <w:rPr>
                <w:rFonts w:ascii="Times New Roman" w:hAnsi="Times New Roman" w:cs="Times New Roman"/>
                <w:sz w:val="20"/>
                <w:szCs w:val="20"/>
              </w:rPr>
              <w:t>:</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when there is no</w:t>
            </w:r>
            <w:r>
              <w:rPr>
                <w:rFonts w:ascii="Times New Roman" w:hAnsi="Times New Roman" w:cs="Times New Roman"/>
                <w:sz w:val="20"/>
                <w:szCs w:val="20"/>
              </w:rPr>
              <w:t xml:space="preserve"> adjacent</w:t>
            </w:r>
            <w:r>
              <w:rPr>
                <w:rFonts w:hint="eastAsia" w:ascii="Times New Roman" w:hAnsi="Times New Roman" w:cs="Times New Roman"/>
                <w:sz w:val="20"/>
                <w:szCs w:val="20"/>
              </w:rPr>
              <w:t xml:space="preserve"> </w:t>
            </w:r>
            <w:r>
              <w:rPr>
                <w:rFonts w:ascii="Times New Roman" w:hAnsi="Times New Roman" w:cs="Times New Roman"/>
                <w:sz w:val="20"/>
                <w:szCs w:val="20"/>
              </w:rPr>
              <w:t>in-band/out-of-band co-existence issue</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when a UE uses a narrower channel bandwidth within a wider BS bandwidth</w:t>
            </w:r>
          </w:p>
          <w:bookmarkEnd w:id="8"/>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w:t>
            </w:r>
            <w:r>
              <w:rPr>
                <w:rFonts w:hint="eastAsia" w:ascii="Times New Roman" w:hAnsi="Times New Roman" w:cs="Times New Roman"/>
                <w:sz w:val="20"/>
                <w:szCs w:val="20"/>
              </w:rPr>
              <w:t xml:space="preserve"> </w:t>
            </w:r>
            <w:r>
              <w:rPr>
                <w:rFonts w:ascii="Times New Roman" w:hAnsi="Times New Roman" w:cs="Times New Roman"/>
                <w:sz w:val="20"/>
                <w:szCs w:val="20"/>
              </w:rPr>
              <w:t>b</w:t>
            </w:r>
            <w:r>
              <w:rPr>
                <w:rFonts w:hint="eastAsia" w:ascii="Times New Roman" w:hAnsi="Times New Roman" w:cs="Times New Roman"/>
                <w:sz w:val="20"/>
                <w:szCs w:val="20"/>
              </w:rPr>
              <w:t xml:space="preserve">oth </w:t>
            </w:r>
            <w:r>
              <w:rPr>
                <w:rFonts w:ascii="Times New Roman" w:hAnsi="Times New Roman" w:cs="Times New Roman"/>
                <w:sz w:val="20"/>
                <w:szCs w:val="20"/>
              </w:rPr>
              <w:t>(e)</w:t>
            </w:r>
            <w:r>
              <w:rPr>
                <w:rFonts w:hint="eastAsia" w:ascii="Times New Roman" w:hAnsi="Times New Roman" w:cs="Times New Roman"/>
                <w:sz w:val="20"/>
                <w:szCs w:val="20"/>
              </w:rPr>
              <w:t>RedCap UE</w:t>
            </w:r>
            <w:r>
              <w:rPr>
                <w:rFonts w:ascii="Times New Roman" w:hAnsi="Times New Roman" w:cs="Times New Roman"/>
                <w:sz w:val="20"/>
                <w:szCs w:val="20"/>
              </w:rPr>
              <w:t xml:space="preserve"> (only PC3)</w:t>
            </w:r>
            <w:r>
              <w:rPr>
                <w:rFonts w:hint="eastAsia" w:ascii="Times New Roman" w:hAnsi="Times New Roman" w:cs="Times New Roman"/>
                <w:sz w:val="20"/>
                <w:szCs w:val="20"/>
              </w:rPr>
              <w:t xml:space="preserve"> and non-RedCap UE</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Limited to QSPK and 16QAM</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Specify </w:t>
            </w:r>
            <w:bookmarkStart w:id="9" w:name="OLE_LINK11"/>
            <w:r>
              <w:rPr>
                <w:rFonts w:ascii="Times New Roman" w:hAnsi="Times New Roman" w:cs="Times New Roman"/>
                <w:sz w:val="20"/>
                <w:szCs w:val="20"/>
              </w:rPr>
              <w:t xml:space="preserve">MPR applicability based on the UL CCs with activated cells </w:t>
            </w:r>
            <w:bookmarkEnd w:id="9"/>
            <w:r>
              <w:rPr>
                <w:rFonts w:ascii="Times New Roman" w:hAnsi="Times New Roman" w:cs="Times New Roman"/>
                <w:sz w:val="20"/>
                <w:szCs w:val="20"/>
              </w:rPr>
              <w:t>for NR intra-band UL CA configuration</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Include both intra-band UL </w:t>
            </w:r>
            <w:r>
              <w:rPr>
                <w:rFonts w:ascii="Times New Roman" w:hAnsi="Times New Roman" w:cs="Times New Roman"/>
                <w:sz w:val="20"/>
                <w:szCs w:val="20"/>
              </w:rPr>
              <w:t>contiguous</w:t>
            </w:r>
            <w:r>
              <w:rPr>
                <w:rFonts w:hint="eastAsia" w:ascii="Times New Roman" w:hAnsi="Times New Roman" w:cs="Times New Roman"/>
                <w:sz w:val="20"/>
                <w:szCs w:val="20"/>
              </w:rPr>
              <w:t xml:space="preserve"> </w:t>
            </w:r>
            <w:r>
              <w:rPr>
                <w:rFonts w:ascii="Times New Roman" w:hAnsi="Times New Roman" w:cs="Times New Roman"/>
                <w:sz w:val="20"/>
                <w:szCs w:val="20"/>
              </w:rPr>
              <w:t>CA and intra-band non-contiguous UL CA for FR1</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intra-band UL contiguous CA and intra-band DL contiguous CA with single UL for FR2</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MPR requirement is not applicable until the </w:t>
            </w:r>
            <w:bookmarkStart w:id="10" w:name="OLE_LINK13"/>
            <w:r>
              <w:rPr>
                <w:rFonts w:ascii="Times New Roman" w:hAnsi="Times New Roman" w:cs="Times New Roman"/>
                <w:sz w:val="20"/>
                <w:szCs w:val="20"/>
              </w:rPr>
              <w:t>SCell is activated</w:t>
            </w:r>
            <w:bookmarkEnd w:id="10"/>
          </w:p>
          <w:p>
            <w:pPr>
              <w:pStyle w:val="34"/>
              <w:numPr>
                <w:ilvl w:val="1"/>
                <w:numId w:val="8"/>
              </w:numPr>
              <w:overflowPunct w:val="0"/>
              <w:autoSpaceDE w:val="0"/>
              <w:autoSpaceDN w:val="0"/>
              <w:adjustRightInd w:val="0"/>
              <w:spacing w:after="180"/>
              <w:ind w:firstLineChars="0"/>
              <w:jc w:val="left"/>
              <w:textAlignment w:val="baseline"/>
              <w:rPr>
                <w:rFonts w:hint="default" w:eastAsia="宋体"/>
                <w:i w:val="0"/>
                <w:iCs w:val="0"/>
                <w:sz w:val="20"/>
                <w:szCs w:val="20"/>
                <w:vertAlign w:val="baseline"/>
                <w:lang w:val="en-US" w:eastAsia="zh-CN"/>
              </w:rPr>
            </w:pPr>
            <w:r>
              <w:rPr>
                <w:rFonts w:ascii="Times New Roman" w:hAnsi="Times New Roman" w:cs="Times New Roman"/>
                <w:sz w:val="20"/>
                <w:szCs w:val="20"/>
              </w:rPr>
              <w:t>Necessary signaling to support the above objectives</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overflowPunct/>
        <w:topLinePunct w:val="0"/>
        <w:autoSpaceDE/>
        <w:autoSpaceDN/>
        <w:bidi w:val="0"/>
        <w:adjustRightInd/>
        <w:snapToGrid/>
        <w:spacing w:beforeLines="0" w:after="120" w:afterLines="0" w:line="260" w:lineRule="auto"/>
        <w:jc w:val="left"/>
        <w:textAlignment w:val="auto"/>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default"/>
          <w:sz w:val="24"/>
          <w:szCs w:val="18"/>
          <w:lang w:val="en-US" w:eastAsia="zh-CN"/>
        </w:rPr>
      </w:pPr>
      <w:r>
        <w:rPr>
          <w:rFonts w:hint="eastAsia"/>
          <w:sz w:val="24"/>
          <w:szCs w:val="18"/>
          <w:lang w:val="en-US" w:eastAsia="zh-CN"/>
        </w:rPr>
        <w:t>2.1 Approaches to enable MPR reduction for both scenario 1 and scenario2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color w:val="000000" w:themeColor="text1"/>
                <w:sz w:val="20"/>
                <w:szCs w:val="20"/>
                <w:u w:val="single"/>
                <w:lang w:val="en-US" w:eastAsia="ko-KR"/>
                <w14:textFill>
                  <w14:solidFill>
                    <w14:schemeClr w14:val="tx1"/>
                  </w14:solidFill>
                </w14:textFill>
              </w:rPr>
            </w:pPr>
            <w:r>
              <w:rPr>
                <w:rFonts w:ascii="Times New Roman" w:hAnsi="Times New Roman"/>
                <w:b/>
                <w:color w:val="000000" w:themeColor="text1"/>
                <w:sz w:val="20"/>
                <w:szCs w:val="20"/>
                <w:u w:val="single"/>
                <w:lang w:val="en-US" w:eastAsia="ko-KR"/>
                <w14:textFill>
                  <w14:solidFill>
                    <w14:schemeClr w14:val="tx1"/>
                  </w14:solidFill>
                </w14:textFill>
              </w:rPr>
              <w:t>Issue 1-1-1: Approaches of converting outer RB allocation to inner RB allocation</w:t>
            </w:r>
          </w:p>
          <w:p>
            <w:pPr>
              <w:overflowPunct w:val="0"/>
              <w:autoSpaceDE w:val="0"/>
              <w:autoSpaceDN w:val="0"/>
              <w:adjustRightInd w:val="0"/>
              <w:spacing w:before="120" w:beforeLines="50" w:after="60"/>
              <w:jc w:val="both"/>
              <w:textAlignment w:val="baseline"/>
              <w:rPr>
                <w:b/>
                <w:bCs/>
                <w:color w:val="000000" w:themeColor="text1"/>
                <w:sz w:val="20"/>
                <w:szCs w:val="20"/>
                <w:highlight w:val="green"/>
                <w:lang w:eastAsia="zh-CN"/>
                <w14:textFill>
                  <w14:solidFill>
                    <w14:schemeClr w14:val="tx1"/>
                  </w14:solidFill>
                </w14:textFill>
              </w:rPr>
            </w:pPr>
            <w:r>
              <w:rPr>
                <w:rFonts w:hint="eastAsia"/>
                <w:b/>
                <w:bCs/>
                <w:color w:val="000000" w:themeColor="text1"/>
                <w:sz w:val="20"/>
                <w:szCs w:val="20"/>
                <w:highlight w:val="green"/>
                <w:lang w:eastAsia="zh-CN"/>
                <w14:textFill>
                  <w14:solidFill>
                    <w14:schemeClr w14:val="tx1"/>
                  </w14:solidFill>
                </w14:textFill>
              </w:rPr>
              <w:t>A</w:t>
            </w:r>
            <w:r>
              <w:rPr>
                <w:b/>
                <w:bCs/>
                <w:color w:val="000000" w:themeColor="text1"/>
                <w:sz w:val="20"/>
                <w:szCs w:val="20"/>
                <w:highlight w:val="green"/>
                <w:lang w:eastAsia="zh-CN"/>
                <w14:textFill>
                  <w14:solidFill>
                    <w14:schemeClr w14:val="tx1"/>
                  </w14:solidFill>
                </w14:textFill>
              </w:rPr>
              <w:t>greement in main session:</w:t>
            </w:r>
          </w:p>
          <w:p>
            <w:pPr>
              <w:pStyle w:val="34"/>
              <w:numPr>
                <w:ilvl w:val="0"/>
                <w:numId w:val="9"/>
              </w:numPr>
              <w:overflowPunct w:val="0"/>
              <w:autoSpaceDE w:val="0"/>
              <w:autoSpaceDN w:val="0"/>
              <w:adjustRightInd w:val="0"/>
              <w:spacing w:after="0"/>
              <w:ind w:firstLineChars="0"/>
              <w:textAlignment w:val="baseline"/>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 xml:space="preserve">Extended CBW based approach </w:t>
            </w:r>
          </w:p>
          <w:p>
            <w:pPr>
              <w:pStyle w:val="34"/>
              <w:numPr>
                <w:ilvl w:val="1"/>
                <w:numId w:val="9"/>
              </w:numPr>
              <w:overflowPunct w:val="0"/>
              <w:autoSpaceDE w:val="0"/>
              <w:autoSpaceDN w:val="0"/>
              <w:adjustRightInd w:val="0"/>
              <w:spacing w:after="0"/>
              <w:ind w:firstLineChars="0"/>
              <w:textAlignment w:val="baseline"/>
              <w:rPr>
                <w:rFonts w:eastAsiaTheme="minorEastAsia"/>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where the extended CBW or aggregated CBWs for the DL-only contiguous intra-band CA case is signalled from </w:t>
            </w:r>
            <w:r>
              <w:rPr>
                <w:rFonts w:eastAsiaTheme="minorEastAsia"/>
                <w:color w:val="000000" w:themeColor="text1"/>
                <w:sz w:val="20"/>
                <w:szCs w:val="20"/>
                <w14:textFill>
                  <w14:solidFill>
                    <w14:schemeClr w14:val="tx1"/>
                  </w14:solidFill>
                </w14:textFill>
              </w:rPr>
              <w:t>network to UE</w:t>
            </w:r>
          </w:p>
          <w:p>
            <w:pPr>
              <w:pStyle w:val="34"/>
              <w:numPr>
                <w:ilvl w:val="1"/>
                <w:numId w:val="9"/>
              </w:numPr>
              <w:overflowPunct w:val="0"/>
              <w:autoSpaceDE w:val="0"/>
              <w:autoSpaceDN w:val="0"/>
              <w:adjustRightInd w:val="0"/>
              <w:spacing w:after="0"/>
              <w:ind w:firstLineChars="0"/>
              <w:textAlignment w:val="baseline"/>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Both scenario 1 and 2 should be covered</w:t>
            </w:r>
          </w:p>
          <w:p>
            <w:pPr>
              <w:pStyle w:val="34"/>
              <w:numPr>
                <w:ilvl w:val="1"/>
                <w:numId w:val="9"/>
              </w:numPr>
              <w:overflowPunct w:val="0"/>
              <w:autoSpaceDE w:val="0"/>
              <w:autoSpaceDN w:val="0"/>
              <w:adjustRightInd w:val="0"/>
              <w:spacing w:after="0"/>
              <w:ind w:firstLineChars="0"/>
              <w:textAlignment w:val="baseline"/>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The network should ensure the co-existence be met when signaling the extended CBW.</w:t>
            </w:r>
          </w:p>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color w:val="000000" w:themeColor="text1"/>
                <w:sz w:val="20"/>
                <w:szCs w:val="20"/>
                <w:u w:val="single"/>
                <w:lang w:val="en-US" w:eastAsia="ko-KR"/>
                <w14:textFill>
                  <w14:solidFill>
                    <w14:schemeClr w14:val="tx1"/>
                  </w14:solidFill>
                </w14:textFill>
              </w:rPr>
            </w:pPr>
          </w:p>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color w:val="000000" w:themeColor="text1"/>
                <w:sz w:val="20"/>
                <w:szCs w:val="20"/>
                <w:u w:val="single"/>
                <w:lang w:val="en-US" w:eastAsia="ko-KR"/>
                <w14:textFill>
                  <w14:solidFill>
                    <w14:schemeClr w14:val="tx1"/>
                  </w14:solidFill>
                </w14:textFill>
              </w:rPr>
            </w:pPr>
            <w:r>
              <w:rPr>
                <w:rFonts w:ascii="Times New Roman" w:hAnsi="Times New Roman"/>
                <w:b/>
                <w:color w:val="000000" w:themeColor="text1"/>
                <w:sz w:val="20"/>
                <w:szCs w:val="20"/>
                <w:u w:val="single"/>
                <w:lang w:val="en-US" w:eastAsia="ko-KR"/>
                <w14:textFill>
                  <w14:solidFill>
                    <w14:schemeClr w14:val="tx1"/>
                  </w14:solidFill>
                </w14:textFill>
              </w:rPr>
              <w:t>Issue 1-1-2: Approaches of calculating the new inner RB region</w:t>
            </w:r>
          </w:p>
          <w:p>
            <w:pPr>
              <w:pStyle w:val="34"/>
              <w:numPr>
                <w:ilvl w:val="0"/>
                <w:numId w:val="10"/>
              </w:numPr>
              <w:overflowPunct/>
              <w:autoSpaceDE/>
              <w:autoSpaceDN/>
              <w:adjustRightInd/>
              <w:spacing w:before="120" w:beforeLines="50" w:after="0"/>
              <w:ind w:left="714" w:hanging="357" w:firstLineChars="0"/>
              <w:textAlignment w:val="auto"/>
              <w:rPr>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Options </w:t>
            </w:r>
          </w:p>
          <w:p>
            <w:pPr>
              <w:pStyle w:val="34"/>
              <w:numPr>
                <w:ilvl w:val="1"/>
                <w:numId w:val="10"/>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Option 1: </w:t>
            </w:r>
            <w:r>
              <w:rPr>
                <w:rFonts w:eastAsia="宋体"/>
                <w:b/>
                <w:bCs/>
                <w:color w:val="000000" w:themeColor="text1"/>
                <w:sz w:val="20"/>
                <w:szCs w:val="20"/>
                <w:lang w:eastAsia="zh-CN"/>
                <w14:textFill>
                  <w14:solidFill>
                    <w14:schemeClr w14:val="tx1"/>
                  </w14:solidFill>
                </w14:textFill>
              </w:rPr>
              <w:t xml:space="preserve">The NW signals the extended number of RBs and RB shift </w:t>
            </w:r>
            <w:r>
              <w:rPr>
                <w:rFonts w:eastAsia="宋体"/>
                <w:color w:val="000000" w:themeColor="text1"/>
                <w:sz w:val="20"/>
                <w:szCs w:val="20"/>
                <w:lang w:eastAsia="zh-CN"/>
                <w14:textFill>
                  <w14:solidFill>
                    <w14:schemeClr w14:val="tx1"/>
                  </w14:solidFill>
                </w14:textFill>
              </w:rPr>
              <w:t>towards the UE configured CBW or RRC signalling to indicate the extended RB number at each side of the UE CBW for the UE to calculate the new inner, outer, and edge regions</w:t>
            </w:r>
          </w:p>
          <w:p>
            <w:pPr>
              <w:pStyle w:val="34"/>
              <w:numPr>
                <w:ilvl w:val="2"/>
                <w:numId w:val="10"/>
              </w:numPr>
              <w:overflowPunct/>
              <w:autoSpaceDE/>
              <w:autoSpaceDN/>
              <w:adjustRightIn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hint="eastAsia" w:eastAsia="宋体"/>
                <w:color w:val="000000" w:themeColor="text1"/>
                <w:sz w:val="20"/>
                <w:szCs w:val="20"/>
                <w:lang w:eastAsia="zh-CN"/>
                <w14:textFill>
                  <w14:solidFill>
                    <w14:schemeClr w14:val="tx1"/>
                  </w14:solidFill>
                </w14:textFill>
              </w:rPr>
              <w:t>T</w:t>
            </w:r>
            <w:r>
              <w:rPr>
                <w:rFonts w:eastAsia="宋体"/>
                <w:color w:val="000000" w:themeColor="text1"/>
                <w:sz w:val="20"/>
                <w:szCs w:val="20"/>
                <w:lang w:eastAsia="zh-CN"/>
                <w14:textFill>
                  <w14:solidFill>
                    <w14:schemeClr w14:val="tx1"/>
                  </w14:solidFill>
                </w14:textFill>
              </w:rPr>
              <w:t xml:space="preserve">he extended number of RBs may not necessarily be the same as those in the BS CBWs </w:t>
            </w:r>
          </w:p>
          <w:p>
            <w:pPr>
              <w:pStyle w:val="34"/>
              <w:numPr>
                <w:ilvl w:val="2"/>
                <w:numId w:val="10"/>
              </w:numPr>
              <w:overflowPunct/>
              <w:autoSpaceDE/>
              <w:autoSpaceDN/>
              <w:adjustRightIn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The intersection of the Inner region relative to the extended UE CBW and the Outer region relative to the configured UE CBW is where the inner MPR can be expected from UE</w:t>
            </w:r>
          </w:p>
          <w:p>
            <w:pPr>
              <w:pStyle w:val="34"/>
              <w:numPr>
                <w:ilvl w:val="1"/>
                <w:numId w:val="10"/>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Option 2: </w:t>
            </w:r>
            <w:r>
              <w:rPr>
                <w:rFonts w:eastAsia="宋体"/>
                <w:b/>
                <w:bCs/>
                <w:color w:val="000000" w:themeColor="text1"/>
                <w:sz w:val="20"/>
                <w:szCs w:val="20"/>
                <w:lang w:eastAsia="zh-CN"/>
                <w14:textFill>
                  <w14:solidFill>
                    <w14:schemeClr w14:val="tx1"/>
                  </w14:solidFill>
                </w14:textFill>
              </w:rPr>
              <w:t>Based on the fixed extension ratio, it is up to the NW to judge the gap width</w:t>
            </w:r>
            <w:r>
              <w:rPr>
                <w:rFonts w:eastAsia="宋体"/>
                <w:color w:val="000000" w:themeColor="text1"/>
                <w:sz w:val="20"/>
                <w:szCs w:val="20"/>
                <w:lang w:eastAsia="zh-CN"/>
                <w14:textFill>
                  <w14:solidFill>
                    <w14:schemeClr w14:val="tx1"/>
                  </w14:solidFill>
                </w14:textFill>
              </w:rPr>
              <w:t xml:space="preserve"> on both sides of the UE and grant the permission to UE using the reduced MPR for the new inner region</w:t>
            </w:r>
          </w:p>
          <w:p>
            <w:pPr>
              <w:pStyle w:val="34"/>
              <w:numPr>
                <w:ilvl w:val="2"/>
                <w:numId w:val="10"/>
              </w:numPr>
              <w:overflowPunct/>
              <w:autoSpaceDE/>
              <w:autoSpaceDN/>
              <w:adjustRightIn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The extension ratio on both sides, 0.5* UE CBW should be stipulated in the spec</w:t>
            </w:r>
          </w:p>
          <w:p>
            <w:pPr>
              <w:pStyle w:val="34"/>
              <w:numPr>
                <w:ilvl w:val="2"/>
                <w:numId w:val="10"/>
              </w:numPr>
              <w:overflowPunct/>
              <w:autoSpaceDE/>
              <w:autoSpaceDN/>
              <w:adjustRightIn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The intersection of the Inner region relative to the extended UE CBW and the Outer region relative to the configured UE CBW is where the inner MPR can be expected from UE</w:t>
            </w:r>
          </w:p>
          <w:p>
            <w:pPr>
              <w:pStyle w:val="34"/>
              <w:numPr>
                <w:ilvl w:val="1"/>
                <w:numId w:val="10"/>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Option 3: </w:t>
            </w:r>
            <w:r>
              <w:rPr>
                <w:color w:val="000000" w:themeColor="text1"/>
                <w:sz w:val="20"/>
                <w:szCs w:val="20"/>
                <w14:textFill>
                  <w14:solidFill>
                    <w14:schemeClr w14:val="tx1"/>
                  </w14:solidFill>
                </w14:textFill>
              </w:rPr>
              <w:t xml:space="preserve">For a UE supporting [capability] and configured with a UE channel bandwidth within a carrier with a bandwidth greater than the transmission bandwidth configuration of this UE channel bandwidth, </w:t>
            </w:r>
            <w:r>
              <w:rPr>
                <w:b/>
                <w:bCs/>
                <w:color w:val="000000" w:themeColor="text1"/>
                <w:sz w:val="20"/>
                <w:szCs w:val="20"/>
                <w14:textFill>
                  <w14:solidFill>
                    <w14:schemeClr w14:val="tx1"/>
                  </w14:solidFill>
                </w14:textFill>
              </w:rPr>
              <w:t>N</w:t>
            </w:r>
            <w:r>
              <w:rPr>
                <w:b/>
                <w:bCs/>
                <w:color w:val="000000" w:themeColor="text1"/>
                <w:sz w:val="20"/>
                <w:szCs w:val="20"/>
                <w:vertAlign w:val="subscript"/>
                <w14:textFill>
                  <w14:solidFill>
                    <w14:schemeClr w14:val="tx1"/>
                  </w14:solidFill>
                </w14:textFill>
              </w:rPr>
              <w:t>RB</w:t>
            </w:r>
            <w:r>
              <w:rPr>
                <w:b/>
                <w:bCs/>
                <w:color w:val="000000" w:themeColor="text1"/>
                <w:sz w:val="20"/>
                <w:szCs w:val="20"/>
                <w14:textFill>
                  <w14:solidFill>
                    <w14:schemeClr w14:val="tx1"/>
                  </w14:solidFill>
                </w14:textFill>
              </w:rPr>
              <w:t xml:space="preserve"> = N´</w:t>
            </w:r>
            <w:r>
              <w:rPr>
                <w:b/>
                <w:bCs/>
                <w:color w:val="000000" w:themeColor="text1"/>
                <w:sz w:val="20"/>
                <w:szCs w:val="20"/>
                <w:vertAlign w:val="subscript"/>
                <w14:textFill>
                  <w14:solidFill>
                    <w14:schemeClr w14:val="tx1"/>
                  </w14:solidFill>
                </w14:textFill>
              </w:rPr>
              <w:t>RB</w:t>
            </w:r>
            <w:r>
              <w:rPr>
                <w:b/>
                <w:bCs/>
                <w:color w:val="000000" w:themeColor="text1"/>
                <w:sz w:val="20"/>
                <w:szCs w:val="20"/>
                <w14:textFill>
                  <w14:solidFill>
                    <w14:schemeClr w14:val="tx1"/>
                  </w14:solidFill>
                </w14:textFill>
              </w:rPr>
              <w:t xml:space="preserve"> is the said carrier bandwidth as indicated by </w:t>
            </w:r>
            <w:r>
              <w:rPr>
                <w:b/>
                <w:bCs/>
                <w:i/>
                <w:iCs/>
                <w:color w:val="000000" w:themeColor="text1"/>
                <w:sz w:val="20"/>
                <w:szCs w:val="20"/>
                <w14:textFill>
                  <w14:solidFill>
                    <w14:schemeClr w14:val="tx1"/>
                  </w14:solidFill>
                </w14:textFill>
              </w:rPr>
              <w:t>carrierBandwidth</w:t>
            </w:r>
            <w:r>
              <w:rPr>
                <w:b/>
                <w:bCs/>
                <w:color w:val="000000" w:themeColor="text1"/>
                <w:sz w:val="20"/>
                <w:szCs w:val="20"/>
                <w14:textFill>
                  <w14:solidFill>
                    <w14:schemeClr w14:val="tx1"/>
                  </w14:solidFill>
                </w14:textFill>
              </w:rPr>
              <w:t xml:space="preserve"> in [SIB1]</w:t>
            </w:r>
            <w:r>
              <w:rPr>
                <w:color w:val="000000" w:themeColor="text1"/>
                <w:sz w:val="20"/>
                <w:szCs w:val="20"/>
                <w14:textFill>
                  <w14:solidFill>
                    <w14:schemeClr w14:val="tx1"/>
                  </w14:solidFill>
                </w14:textFill>
              </w:rPr>
              <w:t xml:space="preserve"> and the condition for an inner RB allocation is modified accordingly</w:t>
            </w:r>
          </w:p>
          <w:p>
            <w:pPr>
              <w:pStyle w:val="34"/>
              <w:numPr>
                <w:ilvl w:val="2"/>
                <w:numId w:val="10"/>
              </w:numPr>
              <w:overflowPunct/>
              <w:autoSpaceDE/>
              <w:autoSpaceDN/>
              <w:adjustRightIn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The intersection of the Inner region relative to the NW CBWs and the Outer region relative to the configured UE CBW is where the inner MPR can be expected from UE</w:t>
            </w:r>
          </w:p>
          <w:p>
            <w:pPr>
              <w:overflowPunct w:val="0"/>
              <w:autoSpaceDE w:val="0"/>
              <w:autoSpaceDN w:val="0"/>
              <w:adjustRightInd w:val="0"/>
              <w:spacing w:after="120"/>
              <w:textAlignment w:val="baseline"/>
              <w:rPr>
                <w:i/>
                <w:iCs/>
                <w:color w:val="000000" w:themeColor="text1"/>
                <w:sz w:val="20"/>
                <w:szCs w:val="20"/>
                <w:lang w:eastAsia="zh-CN"/>
                <w14:textFill>
                  <w14:solidFill>
                    <w14:schemeClr w14:val="tx1"/>
                  </w14:solidFill>
                </w14:textFill>
              </w:rPr>
            </w:pPr>
          </w:p>
          <w:p>
            <w:pPr>
              <w:overflowPunct w:val="0"/>
              <w:autoSpaceDE w:val="0"/>
              <w:autoSpaceDN w:val="0"/>
              <w:adjustRightInd w:val="0"/>
              <w:spacing w:after="120"/>
              <w:ind w:firstLine="420"/>
              <w:textAlignment w:val="baseline"/>
              <w:rPr>
                <w:i/>
                <w:iCs/>
                <w:color w:val="000000" w:themeColor="text1"/>
                <w:sz w:val="20"/>
                <w:szCs w:val="20"/>
                <w:lang w:eastAsia="zh-CN"/>
                <w14:textFill>
                  <w14:solidFill>
                    <w14:schemeClr w14:val="tx1"/>
                  </w14:solidFill>
                </w14:textFill>
              </w:rPr>
            </w:pPr>
            <w:r>
              <w:rPr>
                <w:rFonts w:hint="eastAsia"/>
                <w:i/>
                <w:iCs/>
                <w:color w:val="000000" w:themeColor="text1"/>
                <w:sz w:val="20"/>
                <w:szCs w:val="20"/>
                <w:lang w:eastAsia="zh-CN"/>
                <w14:textFill>
                  <w14:solidFill>
                    <w14:schemeClr w14:val="tx1"/>
                  </w14:solidFill>
                </w14:textFill>
              </w:rPr>
              <w:t>E</w:t>
            </w:r>
            <w:r>
              <w:rPr>
                <w:i/>
                <w:iCs/>
                <w:color w:val="000000" w:themeColor="text1"/>
                <w:sz w:val="20"/>
                <w:szCs w:val="20"/>
                <w:lang w:eastAsia="zh-CN"/>
                <w14:textFill>
                  <w14:solidFill>
                    <w14:schemeClr w14:val="tx1"/>
                  </w14:solidFill>
                </w14:textFill>
              </w:rPr>
              <w:t>xamples of new inner region just for illustration purpose:</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5"/>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5" w:type="dxa"/>
                </w:tcPr>
                <w:p>
                  <w:pPr>
                    <w:overflowPunct w:val="0"/>
                    <w:autoSpaceDE w:val="0"/>
                    <w:autoSpaceDN w:val="0"/>
                    <w:adjustRightInd w:val="0"/>
                    <w:spacing w:after="120"/>
                    <w:jc w:val="center"/>
                    <w:textAlignment w:val="baseline"/>
                    <w:rPr>
                      <w:rFonts w:eastAsiaTheme="minorEastAsia"/>
                      <w:iCs/>
                      <w:color w:val="000000" w:themeColor="text1"/>
                      <w:sz w:val="20"/>
                      <w:szCs w:val="20"/>
                      <w:lang w:eastAsia="zh-CN"/>
                      <w14:textFill>
                        <w14:solidFill>
                          <w14:schemeClr w14:val="tx1"/>
                        </w14:solidFill>
                      </w14:textFill>
                    </w:rPr>
                  </w:pPr>
                  <w:r>
                    <w:rPr>
                      <w:rFonts w:hint="eastAsia" w:eastAsiaTheme="minorEastAsia"/>
                      <w:iCs/>
                      <w:color w:val="000000" w:themeColor="text1"/>
                      <w:sz w:val="20"/>
                      <w:szCs w:val="20"/>
                      <w:lang w:eastAsia="zh-CN"/>
                      <w14:textFill>
                        <w14:solidFill>
                          <w14:schemeClr w14:val="tx1"/>
                        </w14:solidFill>
                      </w14:textFill>
                    </w:rPr>
                    <w:t>Example</w:t>
                  </w:r>
                  <w:r>
                    <w:rPr>
                      <w:rFonts w:eastAsiaTheme="minorEastAsia"/>
                      <w:iCs/>
                      <w:color w:val="000000" w:themeColor="text1"/>
                      <w:sz w:val="20"/>
                      <w:szCs w:val="20"/>
                      <w:lang w:eastAsia="zh-CN"/>
                      <w14:textFill>
                        <w14:solidFill>
                          <w14:schemeClr w14:val="tx1"/>
                        </w14:solidFill>
                      </w14:textFill>
                    </w:rPr>
                    <w:t xml:space="preserve"> 1: single CC </w:t>
                  </w:r>
                  <w:r>
                    <w:rPr>
                      <w:rFonts w:hint="eastAsia" w:eastAsiaTheme="minorEastAsia"/>
                      <w:iCs/>
                      <w:color w:val="000000" w:themeColor="text1"/>
                      <w:sz w:val="20"/>
                      <w:szCs w:val="20"/>
                      <w:lang w:eastAsia="zh-CN"/>
                      <w14:textFill>
                        <w14:solidFill>
                          <w14:schemeClr w14:val="tx1"/>
                        </w14:solidFill>
                      </w14:textFill>
                    </w:rPr>
                    <w:t>scenario</w:t>
                  </w:r>
                </w:p>
              </w:tc>
              <w:tc>
                <w:tcPr>
                  <w:tcW w:w="4816" w:type="dxa"/>
                </w:tcPr>
                <w:p>
                  <w:pPr>
                    <w:overflowPunct w:val="0"/>
                    <w:autoSpaceDE w:val="0"/>
                    <w:autoSpaceDN w:val="0"/>
                    <w:adjustRightInd w:val="0"/>
                    <w:spacing w:after="120"/>
                    <w:jc w:val="center"/>
                    <w:textAlignment w:val="baseline"/>
                    <w:rPr>
                      <w:iCs/>
                      <w:color w:val="000000" w:themeColor="text1"/>
                      <w:sz w:val="20"/>
                      <w:szCs w:val="20"/>
                      <w:lang w:val="en-US" w:eastAsia="zh-CN"/>
                      <w14:textFill>
                        <w14:solidFill>
                          <w14:schemeClr w14:val="tx1"/>
                        </w14:solidFill>
                      </w14:textFill>
                    </w:rPr>
                  </w:pPr>
                  <w:r>
                    <w:rPr>
                      <w:rFonts w:hint="eastAsia" w:eastAsiaTheme="minorEastAsia"/>
                      <w:iCs/>
                      <w:color w:val="000000" w:themeColor="text1"/>
                      <w:sz w:val="20"/>
                      <w:szCs w:val="20"/>
                      <w:lang w:eastAsia="zh-CN"/>
                      <w14:textFill>
                        <w14:solidFill>
                          <w14:schemeClr w14:val="tx1"/>
                        </w14:solidFill>
                      </w14:textFill>
                    </w:rPr>
                    <w:t>Example</w:t>
                  </w:r>
                  <w:r>
                    <w:rPr>
                      <w:rFonts w:eastAsiaTheme="minorEastAsia"/>
                      <w:iCs/>
                      <w:color w:val="000000" w:themeColor="text1"/>
                      <w:sz w:val="20"/>
                      <w:szCs w:val="20"/>
                      <w:lang w:eastAsia="zh-CN"/>
                      <w14:textFill>
                        <w14:solidFill>
                          <w14:schemeClr w14:val="tx1"/>
                        </w14:solidFill>
                      </w14:textFill>
                    </w:rPr>
                    <w:t xml:space="preserve"> 2: multi-CC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5" w:type="dxa"/>
                  <w:vAlign w:val="center"/>
                </w:tcPr>
                <w:p>
                  <w:pPr>
                    <w:overflowPunct w:val="0"/>
                    <w:autoSpaceDE w:val="0"/>
                    <w:autoSpaceDN w:val="0"/>
                    <w:adjustRightInd w:val="0"/>
                    <w:spacing w:after="120"/>
                    <w:jc w:val="center"/>
                    <w:textAlignment w:val="baseline"/>
                    <w:rPr>
                      <w:iCs/>
                      <w:color w:val="000000" w:themeColor="text1"/>
                      <w:sz w:val="20"/>
                      <w:szCs w:val="20"/>
                      <w:lang w:val="en-US" w:eastAsia="zh-CN"/>
                      <w14:textFill>
                        <w14:solidFill>
                          <w14:schemeClr w14:val="tx1"/>
                        </w14:solidFill>
                      </w14:textFill>
                    </w:rPr>
                  </w:pPr>
                  <w:r>
                    <w:rPr>
                      <w:rFonts w:eastAsia="Arial"/>
                      <w:color w:val="000000" w:themeColor="text1"/>
                      <w:sz w:val="20"/>
                      <w:szCs w:val="20"/>
                      <w:lang w:eastAsia="zh-CN"/>
                      <w14:textFill>
                        <w14:solidFill>
                          <w14:schemeClr w14:val="tx1"/>
                        </w14:solidFill>
                      </w14:textFill>
                    </w:rPr>
                    <w:drawing>
                      <wp:inline distT="0" distB="0" distL="0" distR="0">
                        <wp:extent cx="2918460" cy="17710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41547" cy="1785295"/>
                                </a:xfrm>
                                <a:prstGeom prst="rect">
                                  <a:avLst/>
                                </a:prstGeom>
                                <a:noFill/>
                              </pic:spPr>
                            </pic:pic>
                          </a:graphicData>
                        </a:graphic>
                      </wp:inline>
                    </w:drawing>
                  </w:r>
                </w:p>
              </w:tc>
              <w:tc>
                <w:tcPr>
                  <w:tcW w:w="4816" w:type="dxa"/>
                </w:tcPr>
                <w:p>
                  <w:pPr>
                    <w:overflowPunct w:val="0"/>
                    <w:autoSpaceDE w:val="0"/>
                    <w:autoSpaceDN w:val="0"/>
                    <w:adjustRightInd w:val="0"/>
                    <w:spacing w:after="120"/>
                    <w:jc w:val="center"/>
                    <w:textAlignment w:val="baseline"/>
                    <w:rPr>
                      <w:rFonts w:eastAsiaTheme="minorEastAsia"/>
                      <w:iCs/>
                      <w:color w:val="000000" w:themeColor="text1"/>
                      <w:sz w:val="20"/>
                      <w:szCs w:val="20"/>
                      <w:lang w:val="en-US" w:eastAsia="zh-CN"/>
                      <w14:textFill>
                        <w14:solidFill>
                          <w14:schemeClr w14:val="tx1"/>
                        </w14:solidFill>
                      </w14:textFill>
                    </w:rPr>
                  </w:pPr>
                  <w:r>
                    <w:rPr>
                      <w:color w:val="000000" w:themeColor="text1"/>
                      <w:sz w:val="20"/>
                      <w:szCs w:val="20"/>
                      <w:lang w:val="en-US"/>
                      <w14:textFill>
                        <w14:solidFill>
                          <w14:schemeClr w14:val="tx1"/>
                        </w14:solidFill>
                      </w14:textFill>
                    </w:rPr>
                    <w:drawing>
                      <wp:inline distT="0" distB="0" distL="0" distR="0">
                        <wp:extent cx="1943735" cy="160464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3"/>
                                <a:stretch>
                                  <a:fillRect/>
                                </a:stretch>
                              </pic:blipFill>
                              <pic:spPr>
                                <a:xfrm>
                                  <a:off x="0" y="0"/>
                                  <a:ext cx="1962594" cy="1620049"/>
                                </a:xfrm>
                                <a:prstGeom prst="rect">
                                  <a:avLst/>
                                </a:prstGeom>
                              </pic:spPr>
                            </pic:pic>
                          </a:graphicData>
                        </a:graphic>
                      </wp:inline>
                    </w:drawing>
                  </w:r>
                </w:p>
                <w:p>
                  <w:pPr>
                    <w:overflowPunct w:val="0"/>
                    <w:autoSpaceDE w:val="0"/>
                    <w:autoSpaceDN w:val="0"/>
                    <w:adjustRightInd w:val="0"/>
                    <w:spacing w:after="120"/>
                    <w:jc w:val="center"/>
                    <w:textAlignment w:val="baseline"/>
                    <w:rPr>
                      <w:rFonts w:eastAsiaTheme="minorEastAsia"/>
                      <w:iCs/>
                      <w:color w:val="000000" w:themeColor="text1"/>
                      <w:sz w:val="20"/>
                      <w:szCs w:val="20"/>
                      <w:lang w:val="en-US" w:eastAsia="zh-CN"/>
                      <w14:textFill>
                        <w14:solidFill>
                          <w14:schemeClr w14:val="tx1"/>
                        </w14:solidFill>
                      </w14:textFill>
                    </w:rPr>
                  </w:pPr>
                  <w:r>
                    <w:rPr>
                      <w:color w:val="000000" w:themeColor="text1"/>
                      <w:sz w:val="20"/>
                      <w:szCs w:val="20"/>
                      <w:lang w:val="en-US"/>
                      <w14:textFill>
                        <w14:solidFill>
                          <w14:schemeClr w14:val="tx1"/>
                        </w14:solidFill>
                      </w14:textFill>
                    </w:rPr>
                    <w:drawing>
                      <wp:inline distT="0" distB="0" distL="0" distR="0">
                        <wp:extent cx="1979930" cy="617220"/>
                        <wp:effectExtent l="0" t="0" r="127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4"/>
                                <a:stretch>
                                  <a:fillRect/>
                                </a:stretch>
                              </pic:blipFill>
                              <pic:spPr>
                                <a:xfrm>
                                  <a:off x="0" y="0"/>
                                  <a:ext cx="2067520" cy="644853"/>
                                </a:xfrm>
                                <a:prstGeom prst="rect">
                                  <a:avLst/>
                                </a:prstGeom>
                              </pic:spPr>
                            </pic:pic>
                          </a:graphicData>
                        </a:graphic>
                      </wp:inline>
                    </w:drawing>
                  </w:r>
                </w:p>
              </w:tc>
            </w:tr>
          </w:tbl>
          <w:p>
            <w:pPr>
              <w:pStyle w:val="34"/>
              <w:numPr>
                <w:ilvl w:val="0"/>
                <w:numId w:val="10"/>
              </w:numPr>
              <w:overflowPunct/>
              <w:autoSpaceDE/>
              <w:autoSpaceDN/>
              <w:adjustRightInd/>
              <w:spacing w:before="240" w:beforeLines="100" w:after="120"/>
              <w:ind w:left="714" w:hanging="357"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WF</w:t>
            </w:r>
          </w:p>
          <w:p>
            <w:pPr>
              <w:pStyle w:val="34"/>
              <w:numPr>
                <w:ilvl w:val="1"/>
                <w:numId w:val="10"/>
              </w:numPr>
              <w:overflowPunct/>
              <w:autoSpaceDE/>
              <w:autoSpaceDN/>
              <w:adjustRightInd/>
              <w:spacing w:after="120"/>
              <w:ind w:left="144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FFS description of deriving the RB allocation region inside the UE CBW which could use inner RB MPR with information of the extended UE CBW</w:t>
            </w:r>
          </w:p>
          <w:p>
            <w:pPr>
              <w:pStyle w:val="34"/>
              <w:numPr>
                <w:ilvl w:val="2"/>
                <w:numId w:val="10"/>
              </w:numPr>
              <w:overflowPunct/>
              <w:autoSpaceDE/>
              <w:autoSpaceDN/>
              <w:adjustRightInd/>
              <w:spacing w:after="120"/>
              <w:ind w:firstLineChars="0"/>
              <w:textAlignment w:val="auto"/>
              <w:rPr>
                <w:rFonts w:eastAsia="宋体"/>
                <w:color w:val="000000" w:themeColor="text1"/>
                <w:sz w:val="20"/>
                <w:szCs w:val="20"/>
                <w:lang w:eastAsia="zh-CN"/>
                <w14:textFill>
                  <w14:solidFill>
                    <w14:schemeClr w14:val="tx1"/>
                  </w14:solidFill>
                </w14:textFill>
              </w:rPr>
            </w:pPr>
            <w:r>
              <w:rPr>
                <w:rFonts w:hint="eastAsia" w:eastAsia="宋体"/>
                <w:color w:val="000000" w:themeColor="text1"/>
                <w:sz w:val="20"/>
                <w:szCs w:val="20"/>
                <w:lang w:eastAsia="zh-CN"/>
                <w14:textFill>
                  <w14:solidFill>
                    <w14:schemeClr w14:val="tx1"/>
                  </w14:solidFill>
                </w14:textFill>
              </w:rPr>
              <w:t>C</w:t>
            </w:r>
            <w:r>
              <w:rPr>
                <w:rFonts w:eastAsia="宋体"/>
                <w:color w:val="000000" w:themeColor="text1"/>
                <w:sz w:val="20"/>
                <w:szCs w:val="20"/>
                <w:lang w:eastAsia="zh-CN"/>
                <w14:textFill>
                  <w14:solidFill>
                    <w14:schemeClr w14:val="tx1"/>
                  </w14:solidFill>
                </w14:textFill>
              </w:rPr>
              <w:t>andidate wordings, other options are not precluded</w:t>
            </w:r>
          </w:p>
          <w:p>
            <w:pPr>
              <w:pStyle w:val="34"/>
              <w:numPr>
                <w:ilvl w:val="3"/>
                <w:numId w:val="10"/>
              </w:numPr>
              <w:overflowPunct/>
              <w:autoSpaceDE/>
              <w:autoSpaceDN/>
              <w:adjustRightIn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The intersection of the Inner region relative to the extended UE CBW and the Outer region relative to the configured UE CBW is where the inner MPR can be expected from UE</w:t>
            </w:r>
          </w:p>
          <w:p>
            <w:pPr>
              <w:pStyle w:val="34"/>
              <w:numPr>
                <w:ilvl w:val="3"/>
                <w:numId w:val="10"/>
              </w:numPr>
              <w:overflowPunct/>
              <w:autoSpaceDE/>
              <w:autoSpaceDN/>
              <w:adjustRightIn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The intersection of the Inner MPR region of the extended UE CBW with the original MPR region based on the UE CBW</w:t>
            </w:r>
          </w:p>
          <w:p>
            <w:pPr>
              <w:pStyle w:val="34"/>
              <w:numPr>
                <w:ilvl w:val="3"/>
                <w:numId w:val="10"/>
              </w:numPr>
              <w:overflowPunct/>
              <w:autoSpaceDE/>
              <w:autoSpaceDN w:val="0"/>
              <w:adjustRightIn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For enhanced MPR requirements, at least in the case where BW is extended by 0.5 * UE CBW on one or both sides of UE CBW, an RB allocation (LCRB) within the </w:t>
            </w:r>
            <w:bookmarkStart w:id="11" w:name="OLE_LINK7"/>
            <w:r>
              <w:rPr>
                <w:rFonts w:eastAsia="宋体"/>
                <w:color w:val="000000" w:themeColor="text1"/>
                <w:sz w:val="20"/>
                <w:szCs w:val="20"/>
                <w:lang w:eastAsia="zh-CN"/>
                <w14:textFill>
                  <w14:solidFill>
                    <w14:schemeClr w14:val="tx1"/>
                  </w14:solidFill>
                </w14:textFill>
              </w:rPr>
              <w:t>UE CBW</w:t>
            </w:r>
            <w:bookmarkEnd w:id="11"/>
            <w:r>
              <w:rPr>
                <w:rFonts w:eastAsia="宋体"/>
                <w:color w:val="000000" w:themeColor="text1"/>
                <w:sz w:val="20"/>
                <w:szCs w:val="20"/>
                <w:lang w:eastAsia="zh-CN"/>
                <w14:textFill>
                  <w14:solidFill>
                    <w14:schemeClr w14:val="tx1"/>
                  </w14:solidFill>
                </w14:textFill>
              </w:rPr>
              <w:t xml:space="preserve"> is considered as an extended inner RB allocation if an RB allocation-extCBW (of extended CBW) fully covering the same frequency location is also determined as an inner RB allocation (according to existing 38.101-1 MPR formula with corresponding N</w:t>
            </w:r>
            <w:r>
              <w:rPr>
                <w:rFonts w:eastAsia="宋体"/>
                <w:color w:val="000000" w:themeColor="text1"/>
                <w:sz w:val="20"/>
                <w:szCs w:val="20"/>
                <w:vertAlign w:val="subscript"/>
                <w:lang w:eastAsia="zh-CN"/>
                <w14:textFill>
                  <w14:solidFill>
                    <w14:schemeClr w14:val="tx1"/>
                  </w14:solidFill>
                </w14:textFill>
              </w:rPr>
              <w:t>RB</w:t>
            </w:r>
            <w:r>
              <w:rPr>
                <w:rFonts w:eastAsia="宋体"/>
                <w:color w:val="000000" w:themeColor="text1"/>
                <w:sz w:val="20"/>
                <w:szCs w:val="20"/>
                <w:lang w:eastAsia="zh-CN"/>
                <w14:textFill>
                  <w14:solidFill>
                    <w14:schemeClr w14:val="tx1"/>
                  </w14:solidFill>
                </w14:textFill>
              </w:rPr>
              <w:t xml:space="preserve"> of the extended CBW applied).</w:t>
            </w:r>
          </w:p>
          <w:p>
            <w:pPr>
              <w:pStyle w:val="34"/>
              <w:numPr>
                <w:ilvl w:val="2"/>
                <w:numId w:val="10"/>
              </w:numPr>
              <w:overflowPunct/>
              <w:autoSpaceDE/>
              <w:autoSpaceDN/>
              <w:adjustRightInd/>
              <w:spacing w:after="120"/>
              <w:ind w:firstLineChars="0"/>
              <w:textAlignment w:val="auto"/>
              <w:rPr>
                <w:rFonts w:eastAsia="宋体"/>
                <w:color w:val="000000" w:themeColor="text1"/>
                <w:sz w:val="20"/>
                <w:szCs w:val="20"/>
                <w:lang w:eastAsia="zh-CN"/>
                <w14:textFill>
                  <w14:solidFill>
                    <w14:schemeClr w14:val="tx1"/>
                  </w14:solidFill>
                </w14:textFill>
              </w:rPr>
            </w:pPr>
            <w:r>
              <w:rPr>
                <w:rFonts w:hint="eastAsia" w:eastAsia="宋体"/>
                <w:color w:val="000000" w:themeColor="text1"/>
                <w:sz w:val="20"/>
                <w:szCs w:val="20"/>
                <w:lang w:eastAsia="zh-CN"/>
                <w14:textFill>
                  <w14:solidFill>
                    <w14:schemeClr w14:val="tx1"/>
                  </w14:solidFill>
                </w14:textFill>
              </w:rPr>
              <w:t>F</w:t>
            </w:r>
            <w:r>
              <w:rPr>
                <w:rFonts w:eastAsia="宋体"/>
                <w:color w:val="000000" w:themeColor="text1"/>
                <w:sz w:val="20"/>
                <w:szCs w:val="20"/>
                <w:lang w:eastAsia="zh-CN"/>
                <w14:textFill>
                  <w14:solidFill>
                    <w14:schemeClr w14:val="tx1"/>
                  </w14:solidFill>
                </w14:textFill>
              </w:rPr>
              <w:t>urther improve the wording (better with illustrated figures) to derive a generic solution</w:t>
            </w:r>
          </w:p>
          <w:p>
            <w:pPr>
              <w:pStyle w:val="34"/>
              <w:numPr>
                <w:ilvl w:val="2"/>
                <w:numId w:val="10"/>
              </w:numPr>
              <w:overflowPunct/>
              <w:autoSpaceDE/>
              <w:autoSpaceDN/>
              <w:adjustRightInd/>
              <w:spacing w:after="120"/>
              <w:ind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How UE get the extended RB number as well as the RB shift is one possible way, other methods are not precluded</w:t>
            </w:r>
          </w:p>
          <w:p>
            <w:pPr>
              <w:pStyle w:val="34"/>
              <w:numPr>
                <w:ilvl w:val="2"/>
                <w:numId w:val="10"/>
              </w:numPr>
              <w:overflowPunct/>
              <w:autoSpaceDE/>
              <w:autoSpaceDN/>
              <w:adjustRightInd/>
              <w:spacing w:after="120"/>
              <w:ind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FFS how to reflect the new inner region in the spec</w:t>
            </w:r>
          </w:p>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color w:val="000000" w:themeColor="text1"/>
                <w:sz w:val="20"/>
                <w:szCs w:val="20"/>
                <w:u w:val="single"/>
                <w:lang w:val="en-US" w:eastAsia="ko-KR"/>
                <w14:textFill>
                  <w14:solidFill>
                    <w14:schemeClr w14:val="tx1"/>
                  </w14:solidFill>
                </w14:textFill>
              </w:rPr>
            </w:pPr>
            <w:r>
              <w:rPr>
                <w:rFonts w:ascii="Times New Roman" w:hAnsi="Times New Roman"/>
                <w:b/>
                <w:color w:val="000000" w:themeColor="text1"/>
                <w:sz w:val="20"/>
                <w:szCs w:val="20"/>
                <w:u w:val="single"/>
                <w:lang w:val="en-US" w:eastAsia="ko-KR"/>
                <w14:textFill>
                  <w14:solidFill>
                    <w14:schemeClr w14:val="tx1"/>
                  </w14:solidFill>
                </w14:textFill>
              </w:rPr>
              <w:t xml:space="preserve">Issue 1-1-3: Width/RB numbers of extended CBW at each side of UE CBW </w:t>
            </w:r>
          </w:p>
          <w:p>
            <w:pPr>
              <w:pStyle w:val="34"/>
              <w:numPr>
                <w:ilvl w:val="0"/>
                <w:numId w:val="10"/>
              </w:numPr>
              <w:overflowPunct/>
              <w:autoSpaceDE/>
              <w:autoSpaceDN/>
              <w:adjustRightInd/>
              <w:spacing w:before="120" w:beforeLines="50" w:after="0"/>
              <w:ind w:left="714" w:hanging="357" w:firstLineChars="0"/>
              <w:textAlignment w:val="auto"/>
              <w:rPr>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Options </w:t>
            </w:r>
          </w:p>
          <w:p>
            <w:pPr>
              <w:pStyle w:val="34"/>
              <w:numPr>
                <w:ilvl w:val="1"/>
                <w:numId w:val="10"/>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Option 1: </w:t>
            </w:r>
            <w:r>
              <w:rPr>
                <w:rFonts w:eastAsia="宋体"/>
                <w:color w:val="000000" w:themeColor="text1"/>
                <w:sz w:val="20"/>
                <w:szCs w:val="20"/>
                <w14:textFill>
                  <w14:solidFill>
                    <w14:schemeClr w14:val="tx1"/>
                  </w14:solidFill>
                </w14:textFill>
              </w:rPr>
              <w:t>The extended RBs on one side should be equal to N</w:t>
            </w:r>
            <w:r>
              <w:rPr>
                <w:rFonts w:eastAsia="宋体"/>
                <w:color w:val="000000" w:themeColor="text1"/>
                <w:sz w:val="20"/>
                <w:szCs w:val="20"/>
                <w:vertAlign w:val="subscript"/>
                <w14:textFill>
                  <w14:solidFill>
                    <w14:schemeClr w14:val="tx1"/>
                  </w14:solidFill>
                </w14:textFill>
              </w:rPr>
              <w:t>RB</w:t>
            </w:r>
            <w:r>
              <w:rPr>
                <w:rFonts w:eastAsia="宋体"/>
                <w:color w:val="000000" w:themeColor="text1"/>
                <w:sz w:val="20"/>
                <w:szCs w:val="20"/>
                <w14:textFill>
                  <w14:solidFill>
                    <w14:schemeClr w14:val="tx1"/>
                  </w14:solidFill>
                </w14:textFill>
              </w:rPr>
              <w:t>/2, where N</w:t>
            </w:r>
            <w:r>
              <w:rPr>
                <w:rFonts w:eastAsia="宋体"/>
                <w:color w:val="000000" w:themeColor="text1"/>
                <w:sz w:val="20"/>
                <w:szCs w:val="20"/>
                <w:vertAlign w:val="subscript"/>
                <w14:textFill>
                  <w14:solidFill>
                    <w14:schemeClr w14:val="tx1"/>
                  </w14:solidFill>
                </w14:textFill>
              </w:rPr>
              <w:t>RB</w:t>
            </w:r>
            <w:r>
              <w:rPr>
                <w:rFonts w:eastAsia="宋体"/>
                <w:color w:val="000000" w:themeColor="text1"/>
                <w:sz w:val="20"/>
                <w:szCs w:val="20"/>
                <w14:textFill>
                  <w14:solidFill>
                    <w14:schemeClr w14:val="tx1"/>
                  </w14:solidFill>
                </w14:textFill>
              </w:rPr>
              <w:t xml:space="preserve"> is the maximum transmission bandwidth configuration of the original UE CBW</w:t>
            </w:r>
          </w:p>
          <w:p>
            <w:pPr>
              <w:pStyle w:val="34"/>
              <w:numPr>
                <w:ilvl w:val="1"/>
                <w:numId w:val="10"/>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Option 2: The extended RB number for each side can be different and the value could vary from zero to the one specified in Table 5.3.2-1 in TS 38.101-1, but it is no need to exceed the one corresponding to 50MHz, which is the half of the maximum UE CBW 100MHz.</w:t>
            </w:r>
          </w:p>
          <w:p>
            <w:pPr>
              <w:pStyle w:val="34"/>
              <w:numPr>
                <w:ilvl w:val="1"/>
                <w:numId w:val="10"/>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Option 3: Width of Extended UE channel bandwidth can be up to BS channel bandwidth but no more or it can be narrower than BS CBW</w:t>
            </w:r>
          </w:p>
          <w:p>
            <w:pPr>
              <w:pStyle w:val="34"/>
              <w:numPr>
                <w:ilvl w:val="1"/>
                <w:numId w:val="10"/>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Other options are not precluded</w:t>
            </w:r>
          </w:p>
          <w:p>
            <w:pPr>
              <w:pStyle w:val="34"/>
              <w:overflowPunct/>
              <w:autoSpaceDE/>
              <w:autoSpaceDN/>
              <w:adjustRightInd/>
              <w:spacing w:after="120"/>
              <w:ind w:left="1440" w:firstLine="0" w:firstLineChars="0"/>
              <w:jc w:val="both"/>
              <w:textAlignment w:val="auto"/>
              <w:rPr>
                <w:rFonts w:eastAsia="宋体"/>
                <w:color w:val="000000" w:themeColor="text1"/>
                <w:sz w:val="20"/>
                <w:szCs w:val="20"/>
                <w:lang w:eastAsia="zh-CN"/>
                <w14:textFill>
                  <w14:solidFill>
                    <w14:schemeClr w14:val="tx1"/>
                  </w14:solidFill>
                </w14:textFill>
              </w:rPr>
            </w:pPr>
          </w:p>
          <w:p>
            <w:pPr>
              <w:pStyle w:val="34"/>
              <w:numPr>
                <w:ilvl w:val="0"/>
                <w:numId w:val="10"/>
              </w:numPr>
              <w:overflowPunct/>
              <w:autoSpaceDE/>
              <w:autoSpaceDN/>
              <w:adjustRightInd/>
              <w:spacing w:after="120"/>
              <w:ind w:left="72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WF</w:t>
            </w:r>
          </w:p>
          <w:p>
            <w:pPr>
              <w:pStyle w:val="34"/>
              <w:numPr>
                <w:ilvl w:val="1"/>
                <w:numId w:val="10"/>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Extension on each side of UE CBW could be different</w:t>
            </w:r>
          </w:p>
          <w:p>
            <w:pPr>
              <w:pStyle w:val="34"/>
              <w:numPr>
                <w:ilvl w:val="2"/>
                <w:numId w:val="10"/>
              </w:numPr>
              <w:overflowPunct/>
              <w:autoSpaceDE/>
              <w:autoSpaceDN/>
              <w:adjustRightIn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FFS on extended RB numbers/</w:t>
            </w:r>
            <w:r>
              <w:rPr>
                <w:rFonts w:hint="eastAsia" w:eastAsia="宋体"/>
                <w:color w:val="000000" w:themeColor="text1"/>
                <w:sz w:val="20"/>
                <w:szCs w:val="20"/>
                <w:lang w:eastAsia="zh-CN"/>
                <w14:textFill>
                  <w14:solidFill>
                    <w14:schemeClr w14:val="tx1"/>
                  </w14:solidFill>
                </w14:textFill>
              </w:rPr>
              <w:t>channel</w:t>
            </w:r>
            <w:r>
              <w:rPr>
                <w:rFonts w:eastAsia="宋体"/>
                <w:color w:val="000000" w:themeColor="text1"/>
                <w:sz w:val="20"/>
                <w:szCs w:val="20"/>
                <w:lang w:eastAsia="zh-CN"/>
                <w14:textFill>
                  <w14:solidFill>
                    <w14:schemeClr w14:val="tx1"/>
                  </w14:solidFill>
                </w14:textFill>
              </w:rPr>
              <w:t xml:space="preserve"> bandwidth, which are up to X</w:t>
            </w:r>
            <w:r>
              <w:rPr>
                <w:rFonts w:eastAsia="宋体"/>
                <w:color w:val="000000" w:themeColor="text1"/>
                <w:sz w:val="20"/>
                <w:szCs w:val="20"/>
                <w14:textFill>
                  <w14:solidFill>
                    <w14:schemeClr w14:val="tx1"/>
                  </w14:solidFill>
                </w14:textFill>
              </w:rPr>
              <w:t xml:space="preserve"> on each side of UE CBW, depends on the adjacent spectrum by operator in all possible scenarios</w:t>
            </w:r>
          </w:p>
          <w:p>
            <w:pPr>
              <w:pStyle w:val="34"/>
              <w:numPr>
                <w:ilvl w:val="3"/>
                <w:numId w:val="10"/>
              </w:numPr>
              <w:overflowPunct/>
              <w:autoSpaceDE/>
              <w:autoSpaceDN/>
              <w:adjustRightIn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FFS whether extended RB number/channel bandwidth should be limited to max 50MHz at each side, which means the extended CBW is relevant to the configured UE CBW</w:t>
            </w:r>
          </w:p>
          <w:p>
            <w:pPr>
              <w:pStyle w:val="34"/>
              <w:numPr>
                <w:ilvl w:val="3"/>
                <w:numId w:val="10"/>
              </w:numPr>
              <w:overflowPunct/>
              <w:autoSpaceDE/>
              <w:autoSpaceDN/>
              <w:adjustRightIn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Fixed extended RB number/channel bandwidth to X</w:t>
            </w:r>
            <w:r>
              <w:rPr>
                <w:rFonts w:eastAsia="宋体"/>
                <w:color w:val="000000" w:themeColor="text1"/>
                <w:sz w:val="20"/>
                <w:szCs w:val="20"/>
                <w14:textFill>
                  <w14:solidFill>
                    <w14:schemeClr w14:val="tx1"/>
                  </w14:solidFill>
                </w14:textFill>
              </w:rPr>
              <w:t xml:space="preserve"> </w:t>
            </w:r>
            <w:r>
              <w:rPr>
                <w:rFonts w:eastAsia="宋体"/>
                <w:color w:val="000000" w:themeColor="text1"/>
                <w:sz w:val="20"/>
                <w:szCs w:val="20"/>
                <w:lang w:eastAsia="zh-CN"/>
                <w14:textFill>
                  <w14:solidFill>
                    <w14:schemeClr w14:val="tx1"/>
                  </w14:solidFill>
                </w14:textFill>
              </w:rPr>
              <w:t>is not precluded.</w:t>
            </w:r>
          </w:p>
          <w:p>
            <w:pPr>
              <w:pStyle w:val="34"/>
              <w:numPr>
                <w:ilvl w:val="1"/>
                <w:numId w:val="10"/>
              </w:numPr>
              <w:overflowPunct/>
              <w:autoSpaceDE/>
              <w:autoSpaceDN/>
              <w:adjustRightInd/>
              <w:spacing w:after="120"/>
              <w:ind w:left="144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Extension is not used for the specific UE UL transmission but can be used by other UEs UL transmissions. </w:t>
            </w:r>
            <w:r>
              <w:rPr>
                <w:rFonts w:eastAsia="宋体"/>
                <w:color w:val="000000" w:themeColor="text1"/>
                <w:sz w:val="20"/>
                <w:szCs w:val="20"/>
                <w14:textFill>
                  <w14:solidFill>
                    <w14:schemeClr w14:val="tx1"/>
                  </w14:solidFill>
                </w14:textFill>
              </w:rPr>
              <w:t>It is generally understood that going beyond X on each side does not further reduce the MPR.</w:t>
            </w:r>
          </w:p>
          <w:p>
            <w:pPr>
              <w:pStyle w:val="34"/>
              <w:numPr>
                <w:ilvl w:val="1"/>
                <w:numId w:val="10"/>
              </w:numPr>
              <w:overflowPunct/>
              <w:autoSpaceDE/>
              <w:autoSpaceDN/>
              <w:adjustRightInd/>
              <w:spacing w:after="120"/>
              <w:ind w:left="1440" w:firstLineChars="0"/>
              <w:textAlignment w:val="auto"/>
              <w:rPr>
                <w:rFonts w:eastAsia="宋体"/>
                <w:color w:val="000000" w:themeColor="text1"/>
                <w:sz w:val="20"/>
                <w:szCs w:val="20"/>
                <w:lang w:eastAsia="zh-CN"/>
                <w14:textFill>
                  <w14:solidFill>
                    <w14:schemeClr w14:val="tx1"/>
                  </w14:solidFill>
                </w14:textFill>
              </w:rPr>
            </w:pPr>
            <w:r>
              <w:rPr>
                <w:rFonts w:hint="eastAsia" w:eastAsia="宋体"/>
                <w:color w:val="000000" w:themeColor="text1"/>
                <w:sz w:val="20"/>
                <w:szCs w:val="20"/>
                <w:lang w:eastAsia="zh-CN"/>
                <w14:textFill>
                  <w14:solidFill>
                    <w14:schemeClr w14:val="tx1"/>
                  </w14:solidFill>
                </w14:textFill>
              </w:rPr>
              <w:t>F</w:t>
            </w:r>
            <w:r>
              <w:rPr>
                <w:rFonts w:eastAsia="宋体"/>
                <w:color w:val="000000" w:themeColor="text1"/>
                <w:sz w:val="20"/>
                <w:szCs w:val="20"/>
                <w:lang w:eastAsia="zh-CN"/>
                <w14:textFill>
                  <w14:solidFill>
                    <w14:schemeClr w14:val="tx1"/>
                  </w14:solidFill>
                </w14:textFill>
              </w:rPr>
              <w:t>FS on X value</w:t>
            </w:r>
          </w:p>
          <w:p>
            <w:pPr>
              <w:pStyle w:val="5"/>
              <w:keepNext w:val="0"/>
              <w:keepLines w:val="0"/>
              <w:pageBreakBefore w:val="0"/>
              <w:widowControl w:val="0"/>
              <w:numPr>
                <w:ilvl w:val="0"/>
                <w:numId w:val="0"/>
              </w:numPr>
              <w:kinsoku/>
              <w:wordWrap/>
              <w:overflowPunct/>
              <w:topLinePunct w:val="0"/>
              <w:autoSpaceDE/>
              <w:autoSpaceDN/>
              <w:bidi w:val="0"/>
              <w:adjustRightInd/>
              <w:snapToGrid/>
              <w:spacing w:before="0" w:after="60"/>
              <w:ind w:left="1418" w:leftChars="0" w:right="0" w:rightChars="0" w:hanging="1418" w:firstLineChars="0"/>
              <w:textAlignment w:val="auto"/>
              <w:rPr>
                <w:rFonts w:hint="default" w:eastAsia="宋体"/>
                <w:color w:val="000000" w:themeColor="text1"/>
                <w:sz w:val="20"/>
                <w:szCs w:val="20"/>
                <w:lang w:val="en-US" w:eastAsia="zh-CN"/>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260" w:lineRule="auto"/>
        <w:textAlignment w:val="auto"/>
        <w:rPr>
          <w:rFonts w:hint="default"/>
          <w:sz w:val="20"/>
          <w:szCs w:val="20"/>
          <w:lang w:val="en-US" w:eastAsia="zh-CN"/>
        </w:rPr>
      </w:pPr>
      <w:r>
        <w:rPr>
          <w:rFonts w:hint="eastAsia"/>
          <w:sz w:val="20"/>
          <w:szCs w:val="20"/>
          <w:lang w:val="en-US" w:eastAsia="zh-CN"/>
        </w:rPr>
        <w:t>The above is agreement and way forward reached in last meeting [2], we agree to use the extended CBW based approach to cover both scenario 1 and 2. The motivation of the extended CBW based approach is converting full RB allocation in UE configured CBW to inner RB allocation with an extended UE CBW. Based on the definition of inner RB allocation in TS 38.101-1, the extended CBW should be the twice of UE configured CBW to convert full RB allocation in UE configured CBW to inner RB allocation with an extended UE CBW. In actual deployment, it cannot always achieve this goal. But we can maximize the utilization of BS CBW to use the extended CBW based approach. We give the following details of this method.</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default"/>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Single carrier operation from NW perspective:</w:t>
      </w:r>
    </w:p>
    <w:p>
      <w:pPr>
        <w:keepNext w:val="0"/>
        <w:keepLines w:val="0"/>
        <w:pageBreakBefore w:val="0"/>
        <w:widowControl w:val="0"/>
        <w:numPr>
          <w:ilvl w:val="0"/>
          <w:numId w:val="11"/>
        </w:numPr>
        <w:kinsoku/>
        <w:wordWrap/>
        <w:overflowPunct/>
        <w:topLinePunct w:val="0"/>
        <w:autoSpaceDE/>
        <w:autoSpaceDN/>
        <w:bidi w:val="0"/>
        <w:adjustRightInd/>
        <w:snapToGrid/>
        <w:spacing w:line="260" w:lineRule="auto"/>
        <w:ind w:left="420" w:leftChars="0" w:hanging="420" w:firstLineChars="0"/>
        <w:textAlignment w:val="auto"/>
        <w:rPr>
          <w:rFonts w:hint="default"/>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 xml:space="preserve">If the minimum offset between UE CBW and BS CBW is larger than or equal to 1/2 UE CBW, the extended UE CBW can be the twice of UE CBW, which can convert full RB allocation in UE CBW to new inner RB allocation. If not, the extended UE CBW can be replaced by the BS CBW, which can convert partial outer RB allocation in UE CBW to </w:t>
      </w:r>
      <w:r>
        <w:rPr>
          <w:rFonts w:hint="eastAsia"/>
          <w:sz w:val="20"/>
          <w:szCs w:val="20"/>
          <w:lang w:val="en-US" w:eastAsia="zh-CN"/>
        </w:rPr>
        <w:t>inner RB allocation with an extended UE CBW</w:t>
      </w:r>
      <w:r>
        <w:rPr>
          <w:rFonts w:hint="eastAsia"/>
          <w:color w:val="000000" w:themeColor="text1"/>
          <w:sz w:val="20"/>
          <w:szCs w:val="20"/>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default"/>
          <w:color w:val="000000" w:themeColor="text1"/>
          <w:sz w:val="20"/>
          <w:szCs w:val="20"/>
          <w:lang w:val="en-US" w:eastAsia="zh-CN"/>
          <w14:textFill>
            <w14:solidFill>
              <w14:schemeClr w14:val="tx1"/>
            </w14:solidFill>
          </w14:textFill>
        </w:rPr>
      </w:pPr>
      <w:r>
        <w:rPr>
          <w:rFonts w:hint="default"/>
          <w:color w:val="000000" w:themeColor="text1"/>
          <w:sz w:val="20"/>
          <w:szCs w:val="20"/>
          <w:lang w:val="en-US" w:eastAsia="zh-CN"/>
          <w14:textFill>
            <w14:solidFill>
              <w14:schemeClr w14:val="tx1"/>
            </w14:solidFill>
          </w14:textFill>
        </w:rPr>
        <w:drawing>
          <wp:inline distT="0" distB="0" distL="114300" distR="114300">
            <wp:extent cx="2795270" cy="1094740"/>
            <wp:effectExtent l="0" t="0" r="8890" b="2540"/>
            <wp:docPr id="4" name="图片 4" descr="single 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ingle cc"/>
                    <pic:cNvPicPr>
                      <a:picLocks noChangeAspect="1"/>
                    </pic:cNvPicPr>
                  </pic:nvPicPr>
                  <pic:blipFill>
                    <a:blip r:embed="rId15"/>
                    <a:srcRect b="11771"/>
                    <a:stretch>
                      <a:fillRect/>
                    </a:stretch>
                  </pic:blipFill>
                  <pic:spPr>
                    <a:xfrm>
                      <a:off x="0" y="0"/>
                      <a:ext cx="2795270" cy="1094740"/>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Figure 2.1-1: the extended UE CBW based approach for single carrier operation</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default"/>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For DL-only intra-band contiguous CA case:</w:t>
      </w:r>
    </w:p>
    <w:p>
      <w:pPr>
        <w:keepNext w:val="0"/>
        <w:keepLines w:val="0"/>
        <w:pageBreakBefore w:val="0"/>
        <w:widowControl w:val="0"/>
        <w:numPr>
          <w:ilvl w:val="0"/>
          <w:numId w:val="11"/>
        </w:numPr>
        <w:kinsoku/>
        <w:wordWrap/>
        <w:overflowPunct/>
        <w:topLinePunct w:val="0"/>
        <w:autoSpaceDE/>
        <w:autoSpaceDN/>
        <w:bidi w:val="0"/>
        <w:adjustRightInd/>
        <w:snapToGrid/>
        <w:spacing w:line="260" w:lineRule="auto"/>
        <w:ind w:left="420" w:leftChars="0" w:hanging="420" w:firstLineChars="0"/>
        <w:textAlignment w:val="auto"/>
        <w:rPr>
          <w:rFonts w:hint="default"/>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 xml:space="preserve">When there is no adjacent in-band/out-of-band co-existence issue, and when the minimum offset between UE CBW and aggregated BS CBW is greater than 1/2 UE CBW, the extension ratio of extended UE CBW to UE CBW is two, which can convert full RB allocation in UE CBW to new inner RB allocation. If not, the extended UE CBW can be replaced by the aggregated BS CBW, which can convert partial outer RB allocation in UE CBW to </w:t>
      </w:r>
      <w:r>
        <w:rPr>
          <w:rFonts w:hint="eastAsia"/>
          <w:sz w:val="20"/>
          <w:szCs w:val="20"/>
          <w:lang w:val="en-US" w:eastAsia="zh-CN"/>
        </w:rPr>
        <w:t>inner RB allocation with an extended UE CBW</w:t>
      </w:r>
      <w:r>
        <w:rPr>
          <w:rFonts w:hint="eastAsia"/>
          <w:color w:val="000000" w:themeColor="text1"/>
          <w:sz w:val="20"/>
          <w:szCs w:val="20"/>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default"/>
          <w:color w:val="000000" w:themeColor="text1"/>
          <w:sz w:val="20"/>
          <w:szCs w:val="20"/>
          <w:lang w:val="en-US" w:eastAsia="zh-CN"/>
          <w14:textFill>
            <w14:solidFill>
              <w14:schemeClr w14:val="tx1"/>
            </w14:solidFill>
          </w14:textFill>
        </w:rPr>
      </w:pPr>
      <w:r>
        <w:rPr>
          <w:rFonts w:hint="default"/>
          <w:color w:val="000000" w:themeColor="text1"/>
          <w:sz w:val="20"/>
          <w:szCs w:val="20"/>
          <w:lang w:val="en-US" w:eastAsia="zh-CN"/>
          <w14:textFill>
            <w14:solidFill>
              <w14:schemeClr w14:val="tx1"/>
            </w14:solidFill>
          </w14:textFill>
        </w:rPr>
        <w:drawing>
          <wp:inline distT="0" distB="0" distL="114300" distR="114300">
            <wp:extent cx="2628265" cy="1466850"/>
            <wp:effectExtent l="0" t="0" r="0" b="0"/>
            <wp:docPr id="1" name="图片 1" descr="绘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绘图1"/>
                    <pic:cNvPicPr>
                      <a:picLocks noChangeAspect="1"/>
                    </pic:cNvPicPr>
                  </pic:nvPicPr>
                  <pic:blipFill>
                    <a:blip r:embed="rId16"/>
                    <a:srcRect r="17369"/>
                    <a:stretch>
                      <a:fillRect/>
                    </a:stretch>
                  </pic:blipFill>
                  <pic:spPr>
                    <a:xfrm>
                      <a:off x="0" y="0"/>
                      <a:ext cx="2628265" cy="1466850"/>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default"/>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Figure 2.1-2: the extended UE CBW based approach for DL-only intra-band contiguous CA case</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default"/>
          <w:color w:val="000000" w:themeColor="text1"/>
          <w:sz w:val="20"/>
          <w:szCs w:val="20"/>
          <w:lang w:val="en-US" w:eastAsia="zh-CN"/>
          <w14:textFill>
            <w14:solidFill>
              <w14:schemeClr w14:val="tx1"/>
            </w14:solidFill>
          </w14:textFill>
        </w:rPr>
      </w:pPr>
      <w:r>
        <w:rPr>
          <w:rFonts w:hint="eastAsia"/>
          <w:b/>
          <w:bCs/>
          <w:i w:val="0"/>
          <w:iCs w:val="0"/>
          <w:sz w:val="20"/>
          <w:szCs w:val="20"/>
          <w:lang w:val="en-US" w:eastAsia="zh-CN"/>
        </w:rPr>
        <w:t xml:space="preserve">Proposal 1: </w:t>
      </w:r>
    </w:p>
    <w:p>
      <w:pPr>
        <w:keepNext w:val="0"/>
        <w:keepLines w:val="0"/>
        <w:pageBreakBefore w:val="0"/>
        <w:widowControl w:val="0"/>
        <w:numPr>
          <w:ilvl w:val="0"/>
          <w:numId w:val="11"/>
        </w:numPr>
        <w:kinsoku/>
        <w:wordWrap/>
        <w:overflowPunct/>
        <w:topLinePunct w:val="0"/>
        <w:autoSpaceDE/>
        <w:autoSpaceDN/>
        <w:bidi w:val="0"/>
        <w:adjustRightInd/>
        <w:snapToGrid/>
        <w:spacing w:line="260" w:lineRule="auto"/>
        <w:ind w:left="420" w:leftChars="0" w:hanging="420" w:firstLineChars="0"/>
        <w:textAlignment w:val="auto"/>
        <w:rPr>
          <w:rFonts w:hint="default"/>
          <w:b/>
          <w:bCs/>
          <w:color w:val="000000" w:themeColor="text1"/>
          <w:sz w:val="20"/>
          <w:szCs w:val="20"/>
          <w:lang w:val="en-US" w:eastAsia="zh-CN"/>
          <w14:textFill>
            <w14:solidFill>
              <w14:schemeClr w14:val="tx1"/>
            </w14:solidFill>
          </w14:textFill>
        </w:rPr>
      </w:pPr>
      <w:r>
        <w:rPr>
          <w:rFonts w:hint="eastAsia"/>
          <w:b/>
          <w:bCs/>
          <w:color w:val="000000" w:themeColor="text1"/>
          <w:sz w:val="20"/>
          <w:szCs w:val="20"/>
          <w:lang w:val="en-US" w:eastAsia="zh-CN"/>
          <w14:textFill>
            <w14:solidFill>
              <w14:schemeClr w14:val="tx1"/>
            </w14:solidFill>
          </w14:textFill>
        </w:rPr>
        <w:t>For single carrier operation from NW perspective, if the minimum offset between UE CBW and BS CBW is larger than or equal to 1/2 UE CBW, the extended UE CBW can be the twice of UE CBW, which can convert full RB allocation in UE CBW to new inner RB allocation. If not, the extended UE CBW can be replaced by the BS CBW, which can convert partial outer RB allocation in UE CBW to inner RB allocation with an extended UE CBW.</w:t>
      </w:r>
    </w:p>
    <w:p>
      <w:pPr>
        <w:keepNext w:val="0"/>
        <w:keepLines w:val="0"/>
        <w:pageBreakBefore w:val="0"/>
        <w:widowControl w:val="0"/>
        <w:numPr>
          <w:ilvl w:val="0"/>
          <w:numId w:val="11"/>
        </w:numPr>
        <w:kinsoku/>
        <w:wordWrap/>
        <w:overflowPunct/>
        <w:topLinePunct w:val="0"/>
        <w:autoSpaceDE/>
        <w:autoSpaceDN/>
        <w:bidi w:val="0"/>
        <w:adjustRightInd/>
        <w:snapToGrid/>
        <w:spacing w:line="260" w:lineRule="auto"/>
        <w:ind w:left="420" w:leftChars="0" w:hanging="420" w:firstLineChars="0"/>
        <w:textAlignment w:val="auto"/>
        <w:rPr>
          <w:rFonts w:hint="default"/>
          <w:b/>
          <w:bCs/>
          <w:color w:val="000000" w:themeColor="text1"/>
          <w:sz w:val="20"/>
          <w:szCs w:val="20"/>
          <w:lang w:val="en-US" w:eastAsia="zh-CN"/>
          <w14:textFill>
            <w14:solidFill>
              <w14:schemeClr w14:val="tx1"/>
            </w14:solidFill>
          </w14:textFill>
        </w:rPr>
      </w:pPr>
      <w:r>
        <w:rPr>
          <w:rFonts w:hint="eastAsia"/>
          <w:b/>
          <w:bCs/>
          <w:color w:val="000000" w:themeColor="text1"/>
          <w:sz w:val="20"/>
          <w:szCs w:val="20"/>
          <w:lang w:val="en-US" w:eastAsia="zh-CN"/>
          <w14:textFill>
            <w14:solidFill>
              <w14:schemeClr w14:val="tx1"/>
            </w14:solidFill>
          </w14:textFill>
        </w:rPr>
        <w:t>For DL-only intra-band contiguous CA case, when there is no adjacent in-band/out-of-band co-existence issue, and when the minimum offset between UE CBW and aggregated BS CBW is greater than 1/2 UE CBW, the extension ratio of extended UE CBW to UE CBW is two, which can convert full RB allocation in UE CBW to new inner RB allocation. If not, the extended UE CBW can be replaced by the aggregated BS CBW, which can convert partial outer RB allocation in UE CBW to inner RB allocation with an extended UE CBW.</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default"/>
          <w:color w:val="000000" w:themeColor="text1"/>
          <w:sz w:val="20"/>
          <w:szCs w:val="20"/>
          <w:lang w:val="en-US" w:eastAsia="zh-CN"/>
          <w14:textFill>
            <w14:solidFill>
              <w14:schemeClr w14:val="tx1"/>
            </w14:solidFill>
          </w14:textFill>
        </w:rPr>
      </w:pPr>
    </w:p>
    <w:p>
      <w:pPr>
        <w:pStyle w:val="50"/>
        <w:keepNext w:val="0"/>
        <w:keepLines/>
        <w:pageBreakBefore w:val="0"/>
        <w:widowControl/>
        <w:kinsoku/>
        <w:wordWrap/>
        <w:overflowPunct/>
        <w:topLinePunct w:val="0"/>
        <w:autoSpaceDE/>
        <w:autoSpaceDN/>
        <w:bidi w:val="0"/>
        <w:adjustRightInd/>
        <w:snapToGrid/>
        <w:spacing w:line="260" w:lineRule="auto"/>
        <w:ind w:left="0" w:firstLine="0" w:firstLineChars="0"/>
        <w:jc w:val="both"/>
        <w:textAlignment w:val="auto"/>
        <w:rPr>
          <w:rFonts w:hint="eastAsia"/>
          <w:color w:val="000000" w:themeColor="text1"/>
          <w:sz w:val="20"/>
          <w:szCs w:val="20"/>
          <w:lang w:val="en-US" w:eastAsia="zh-CN"/>
          <w14:textFill>
            <w14:solidFill>
              <w14:schemeClr w14:val="tx1"/>
            </w14:solidFill>
          </w14:textFill>
        </w:rPr>
      </w:pPr>
      <w:r>
        <w:rPr>
          <w:rFonts w:hint="eastAsia"/>
          <w:sz w:val="20"/>
          <w:szCs w:val="18"/>
          <w:lang w:val="en-US" w:eastAsia="zh-CN"/>
        </w:rPr>
        <w:t xml:space="preserve">For the new inner RB allocation in UE CBW, we can define it based on the extended UE CBW. From the following picture, we can observe that new inner RB allocation (yellow within the red line) in UE CBW is the </w:t>
      </w:r>
      <w:r>
        <w:rPr>
          <w:rFonts w:eastAsia="宋体"/>
          <w:color w:val="000000" w:themeColor="text1"/>
          <w:sz w:val="20"/>
          <w:szCs w:val="20"/>
          <w:lang w:eastAsia="zh-CN"/>
          <w14:textFill>
            <w14:solidFill>
              <w14:schemeClr w14:val="tx1"/>
            </w14:solidFill>
          </w14:textFill>
        </w:rPr>
        <w:t>intersection</w:t>
      </w:r>
      <w:r>
        <w:rPr>
          <w:rFonts w:hint="eastAsia"/>
          <w:color w:val="000000" w:themeColor="text1"/>
          <w:sz w:val="20"/>
          <w:szCs w:val="20"/>
          <w:lang w:val="en-US" w:eastAsia="zh-CN"/>
          <w14:textFill>
            <w14:solidFill>
              <w14:schemeClr w14:val="tx1"/>
            </w14:solidFill>
          </w14:textFill>
        </w:rPr>
        <w:t xml:space="preserve"> of inner RB allocation in the extended UE CBW and UE RB allocation, in which UE RB allocation corresponds to the configured UE CBW.</w:t>
      </w:r>
    </w:p>
    <w:p>
      <w:pPr>
        <w:jc w:val="center"/>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drawing>
          <wp:inline distT="0" distB="0" distL="114300" distR="114300">
            <wp:extent cx="4276090" cy="3427730"/>
            <wp:effectExtent l="0" t="0" r="0" b="0"/>
            <wp:docPr id="2" name="图片 2" descr="new i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new inner"/>
                    <pic:cNvPicPr>
                      <a:picLocks noChangeAspect="1"/>
                    </pic:cNvPicPr>
                  </pic:nvPicPr>
                  <pic:blipFill>
                    <a:blip r:embed="rId17"/>
                    <a:stretch>
                      <a:fillRect/>
                    </a:stretch>
                  </pic:blipFill>
                  <pic:spPr>
                    <a:xfrm>
                      <a:off x="0" y="0"/>
                      <a:ext cx="4276090" cy="3427730"/>
                    </a:xfrm>
                    <a:prstGeom prst="rect">
                      <a:avLst/>
                    </a:prstGeom>
                  </pic:spPr>
                </pic:pic>
              </a:graphicData>
            </a:graphic>
          </wp:inline>
        </w:drawing>
      </w:r>
    </w:p>
    <w:p>
      <w:pPr>
        <w:jc w:val="center"/>
        <w:rPr>
          <w:rFonts w:hint="default"/>
          <w:lang w:val="en-US" w:eastAsia="zh-CN"/>
        </w:rPr>
      </w:pPr>
      <w:r>
        <w:rPr>
          <w:rFonts w:hint="eastAsia"/>
          <w:color w:val="000000" w:themeColor="text1"/>
          <w:sz w:val="20"/>
          <w:szCs w:val="20"/>
          <w:lang w:val="en-US" w:eastAsia="zh-CN"/>
          <w14:textFill>
            <w14:solidFill>
              <w14:schemeClr w14:val="tx1"/>
            </w14:solidFill>
          </w14:textFill>
        </w:rPr>
        <w:t>Figure 2.1-3: New inner RB allocation in UE CBW based on the extended UE CBW</w:t>
      </w:r>
    </w:p>
    <w:p>
      <w:pPr>
        <w:pStyle w:val="50"/>
        <w:keepNext w:val="0"/>
        <w:keepLines/>
        <w:pageBreakBefore w:val="0"/>
        <w:widowControl/>
        <w:kinsoku/>
        <w:wordWrap/>
        <w:overflowPunct/>
        <w:topLinePunct w:val="0"/>
        <w:autoSpaceDE/>
        <w:autoSpaceDN/>
        <w:bidi w:val="0"/>
        <w:adjustRightInd/>
        <w:snapToGrid/>
        <w:spacing w:line="260" w:lineRule="auto"/>
        <w:ind w:left="0" w:firstLine="0" w:firstLineChars="0"/>
        <w:jc w:val="both"/>
        <w:textAlignment w:val="auto"/>
        <w:rPr>
          <w:rFonts w:hint="default" w:eastAsia="宋体"/>
          <w:sz w:val="20"/>
          <w:szCs w:val="18"/>
          <w:lang w:val="en-US" w:eastAsia="zh-CN"/>
        </w:rPr>
      </w:pPr>
      <w:r>
        <w:rPr>
          <w:rFonts w:hint="eastAsia"/>
          <w:sz w:val="20"/>
          <w:szCs w:val="18"/>
          <w:lang w:val="en-US" w:eastAsia="zh-CN"/>
        </w:rPr>
        <w:t>For the extended UE CBW, its inner RB allocation can be expressed by the following equation:</w:t>
      </w:r>
    </w:p>
    <w:p>
      <w:pPr>
        <w:pStyle w:val="50"/>
        <w:jc w:val="center"/>
        <w:rPr>
          <w:sz w:val="20"/>
          <w:szCs w:val="18"/>
        </w:rPr>
      </w:pPr>
      <w:r>
        <w:rPr>
          <w:sz w:val="20"/>
          <w:szCs w:val="18"/>
        </w:rPr>
        <w:t>RB</w:t>
      </w:r>
      <w:r>
        <w:rPr>
          <w:sz w:val="20"/>
          <w:szCs w:val="18"/>
          <w:vertAlign w:val="subscript"/>
        </w:rPr>
        <w:t>Start,Low</w:t>
      </w:r>
      <w:r>
        <w:rPr>
          <w:sz w:val="20"/>
          <w:szCs w:val="18"/>
        </w:rPr>
        <w:t xml:space="preserve"> = max(1, floor(L</w:t>
      </w:r>
      <w:r>
        <w:rPr>
          <w:sz w:val="20"/>
          <w:szCs w:val="18"/>
          <w:vertAlign w:val="subscript"/>
        </w:rPr>
        <w:t>CRB</w:t>
      </w:r>
      <w:r>
        <w:rPr>
          <w:sz w:val="20"/>
          <w:szCs w:val="18"/>
        </w:rPr>
        <w:t>/2))</w:t>
      </w:r>
    </w:p>
    <w:p>
      <w:pPr>
        <w:rPr>
          <w:sz w:val="20"/>
          <w:szCs w:val="18"/>
        </w:rPr>
      </w:pPr>
      <w:r>
        <w:rPr>
          <w:sz w:val="20"/>
          <w:szCs w:val="18"/>
        </w:rPr>
        <w:t>where max() indicates the largest value of all arguments and floor(x) is the greatest integer less than or equal to x.</w:t>
      </w:r>
    </w:p>
    <w:p>
      <w:pPr>
        <w:pStyle w:val="50"/>
        <w:jc w:val="center"/>
        <w:rPr>
          <w:sz w:val="20"/>
          <w:szCs w:val="18"/>
        </w:rPr>
      </w:pPr>
      <w:r>
        <w:rPr>
          <w:sz w:val="20"/>
          <w:szCs w:val="18"/>
        </w:rPr>
        <w:t>RB</w:t>
      </w:r>
      <w:r>
        <w:rPr>
          <w:sz w:val="20"/>
          <w:szCs w:val="18"/>
          <w:vertAlign w:val="subscript"/>
        </w:rPr>
        <w:t>Start,High</w:t>
      </w:r>
      <w:r>
        <w:rPr>
          <w:sz w:val="20"/>
          <w:szCs w:val="18"/>
        </w:rPr>
        <w:t xml:space="preserve"> = N</w:t>
      </w:r>
      <w:r>
        <w:rPr>
          <w:sz w:val="20"/>
          <w:szCs w:val="18"/>
          <w:vertAlign w:val="subscript"/>
        </w:rPr>
        <w:t>RB</w:t>
      </w:r>
      <w:r>
        <w:rPr>
          <w:rFonts w:hint="eastAsia"/>
          <w:sz w:val="20"/>
          <w:szCs w:val="18"/>
          <w:vertAlign w:val="subscript"/>
          <w:lang w:val="en-US" w:eastAsia="zh-CN"/>
        </w:rPr>
        <w:t>,extended</w:t>
      </w:r>
      <w:r>
        <w:rPr>
          <w:sz w:val="20"/>
          <w:szCs w:val="18"/>
        </w:rPr>
        <w:t xml:space="preserve"> – RB</w:t>
      </w:r>
      <w:r>
        <w:rPr>
          <w:sz w:val="20"/>
          <w:szCs w:val="18"/>
          <w:vertAlign w:val="subscript"/>
        </w:rPr>
        <w:t>Start,Low</w:t>
      </w:r>
      <w:r>
        <w:rPr>
          <w:sz w:val="20"/>
          <w:szCs w:val="18"/>
        </w:rPr>
        <w:t xml:space="preserve"> – L</w:t>
      </w:r>
      <w:r>
        <w:rPr>
          <w:sz w:val="20"/>
          <w:szCs w:val="18"/>
          <w:vertAlign w:val="subscript"/>
        </w:rPr>
        <w:t>CRB</w:t>
      </w:r>
    </w:p>
    <w:p>
      <w:pPr>
        <w:rPr>
          <w:sz w:val="20"/>
          <w:szCs w:val="18"/>
        </w:rPr>
      </w:pPr>
      <w:r>
        <w:rPr>
          <w:sz w:val="20"/>
          <w:szCs w:val="18"/>
        </w:rPr>
        <w:t>The RB allocation is an Inner RB allocation if the following conditions are met</w:t>
      </w:r>
    </w:p>
    <w:p>
      <w:pPr>
        <w:pStyle w:val="50"/>
        <w:jc w:val="center"/>
        <w:rPr>
          <w:sz w:val="20"/>
          <w:szCs w:val="18"/>
        </w:rPr>
      </w:pPr>
      <w:r>
        <w:rPr>
          <w:sz w:val="20"/>
          <w:szCs w:val="18"/>
        </w:rPr>
        <w:t>RB</w:t>
      </w:r>
      <w:r>
        <w:rPr>
          <w:sz w:val="20"/>
          <w:szCs w:val="18"/>
          <w:vertAlign w:val="subscript"/>
        </w:rPr>
        <w:t xml:space="preserve">Start,Low  </w:t>
      </w:r>
      <w:r>
        <w:rPr>
          <w:sz w:val="20"/>
          <w:szCs w:val="18"/>
        </w:rPr>
        <w:t>≤  RB</w:t>
      </w:r>
      <w:r>
        <w:rPr>
          <w:sz w:val="20"/>
          <w:szCs w:val="18"/>
          <w:vertAlign w:val="subscript"/>
        </w:rPr>
        <w:t>Start</w:t>
      </w:r>
      <w:r>
        <w:rPr>
          <w:rFonts w:hint="eastAsia"/>
          <w:sz w:val="20"/>
          <w:szCs w:val="18"/>
          <w:vertAlign w:val="subscript"/>
          <w:lang w:val="en-US" w:eastAsia="zh-CN"/>
        </w:rPr>
        <w:t xml:space="preserve"> </w:t>
      </w:r>
      <w:r>
        <w:rPr>
          <w:sz w:val="20"/>
          <w:szCs w:val="18"/>
          <w:vertAlign w:val="subscript"/>
        </w:rPr>
        <w:t xml:space="preserve"> </w:t>
      </w:r>
      <w:r>
        <w:rPr>
          <w:sz w:val="20"/>
          <w:szCs w:val="18"/>
        </w:rPr>
        <w:t>≤  RB</w:t>
      </w:r>
      <w:r>
        <w:rPr>
          <w:sz w:val="20"/>
          <w:szCs w:val="18"/>
          <w:vertAlign w:val="subscript"/>
        </w:rPr>
        <w:t>Start,High</w:t>
      </w:r>
      <w:r>
        <w:rPr>
          <w:sz w:val="20"/>
          <w:szCs w:val="18"/>
        </w:rPr>
        <w:t>,</w:t>
      </w:r>
      <w:r>
        <w:rPr>
          <w:sz w:val="20"/>
          <w:szCs w:val="18"/>
          <w:vertAlign w:val="subscript"/>
        </w:rPr>
        <w:t xml:space="preserve"> </w:t>
      </w:r>
      <w:r>
        <w:rPr>
          <w:sz w:val="20"/>
          <w:szCs w:val="18"/>
        </w:rPr>
        <w:t>and</w:t>
      </w:r>
    </w:p>
    <w:p>
      <w:pPr>
        <w:pStyle w:val="50"/>
        <w:jc w:val="center"/>
        <w:rPr>
          <w:sz w:val="20"/>
          <w:szCs w:val="18"/>
        </w:rPr>
      </w:pPr>
      <w:r>
        <w:rPr>
          <w:sz w:val="20"/>
          <w:szCs w:val="18"/>
        </w:rPr>
        <w:t>L</w:t>
      </w:r>
      <w:r>
        <w:rPr>
          <w:sz w:val="20"/>
          <w:szCs w:val="18"/>
          <w:vertAlign w:val="subscript"/>
        </w:rPr>
        <w:t xml:space="preserve">CRB  </w:t>
      </w:r>
      <w:r>
        <w:rPr>
          <w:sz w:val="20"/>
          <w:szCs w:val="18"/>
        </w:rPr>
        <w:t>≤  ceil(N</w:t>
      </w:r>
      <w:r>
        <w:rPr>
          <w:sz w:val="20"/>
          <w:szCs w:val="18"/>
          <w:vertAlign w:val="subscript"/>
        </w:rPr>
        <w:t>RB</w:t>
      </w:r>
      <w:r>
        <w:rPr>
          <w:rFonts w:hint="eastAsia"/>
          <w:sz w:val="20"/>
          <w:szCs w:val="18"/>
          <w:vertAlign w:val="subscript"/>
          <w:lang w:val="en-US" w:eastAsia="zh-CN"/>
        </w:rPr>
        <w:t>,extended</w:t>
      </w:r>
      <w:r>
        <w:rPr>
          <w:sz w:val="20"/>
          <w:szCs w:val="18"/>
        </w:rPr>
        <w:t>/2)</w:t>
      </w:r>
    </w:p>
    <w:p>
      <w:pPr>
        <w:pStyle w:val="50"/>
        <w:keepNext w:val="0"/>
        <w:keepLines/>
        <w:pageBreakBefore w:val="0"/>
        <w:widowControl/>
        <w:kinsoku/>
        <w:wordWrap/>
        <w:overflowPunct/>
        <w:topLinePunct w:val="0"/>
        <w:autoSpaceDE/>
        <w:autoSpaceDN/>
        <w:bidi w:val="0"/>
        <w:adjustRightInd/>
        <w:snapToGrid/>
        <w:spacing w:line="260" w:lineRule="auto"/>
        <w:ind w:left="0" w:firstLine="0" w:firstLineChars="0"/>
        <w:jc w:val="both"/>
        <w:textAlignment w:val="auto"/>
        <w:rPr>
          <w:rFonts w:hint="default" w:eastAsia="宋体"/>
          <w:sz w:val="20"/>
          <w:szCs w:val="18"/>
          <w:lang w:val="en-US" w:eastAsia="zh-CN"/>
        </w:rPr>
      </w:pPr>
      <w:r>
        <w:rPr>
          <w:sz w:val="20"/>
          <w:szCs w:val="18"/>
        </w:rPr>
        <w:t>where ceil(x) is the smallest integer greater than or equal to x</w:t>
      </w:r>
      <w:r>
        <w:rPr>
          <w:rFonts w:hint="eastAsia"/>
          <w:sz w:val="20"/>
          <w:szCs w:val="18"/>
          <w:lang w:val="en-US" w:eastAsia="zh-CN"/>
        </w:rPr>
        <w:t xml:space="preserve">, </w:t>
      </w:r>
      <w:r>
        <w:rPr>
          <w:sz w:val="20"/>
          <w:szCs w:val="18"/>
        </w:rPr>
        <w:t>N</w:t>
      </w:r>
      <w:r>
        <w:rPr>
          <w:sz w:val="20"/>
          <w:szCs w:val="18"/>
          <w:vertAlign w:val="subscript"/>
        </w:rPr>
        <w:t>RB</w:t>
      </w:r>
      <w:r>
        <w:rPr>
          <w:rFonts w:hint="eastAsia"/>
          <w:sz w:val="20"/>
          <w:szCs w:val="18"/>
          <w:vertAlign w:val="subscript"/>
          <w:lang w:val="en-US" w:eastAsia="zh-CN"/>
        </w:rPr>
        <w:t>,extended</w:t>
      </w:r>
      <w:r>
        <w:rPr>
          <w:sz w:val="20"/>
          <w:szCs w:val="18"/>
          <w:vertAlign w:val="subscript"/>
        </w:rPr>
        <w:t xml:space="preserve"> </w:t>
      </w:r>
      <w:r>
        <w:rPr>
          <w:sz w:val="20"/>
          <w:szCs w:val="18"/>
        </w:rPr>
        <w:t xml:space="preserve">is the maximum </w:t>
      </w:r>
      <w:r>
        <w:rPr>
          <w:rFonts w:hint="eastAsia"/>
          <w:sz w:val="20"/>
          <w:szCs w:val="18"/>
          <w:lang w:val="en-US" w:eastAsia="zh-CN"/>
        </w:rPr>
        <w:t xml:space="preserve">transmission bandwidth configuration of the extended channel bandwidth, </w:t>
      </w:r>
      <w:r>
        <w:rPr>
          <w:sz w:val="20"/>
          <w:szCs w:val="18"/>
        </w:rPr>
        <w:t>RB</w:t>
      </w:r>
      <w:r>
        <w:rPr>
          <w:sz w:val="20"/>
          <w:szCs w:val="18"/>
          <w:vertAlign w:val="subscript"/>
        </w:rPr>
        <w:t>Start,Low</w:t>
      </w:r>
      <w:r>
        <w:rPr>
          <w:rFonts w:hint="eastAsia"/>
          <w:sz w:val="20"/>
          <w:szCs w:val="18"/>
          <w:lang w:val="en-US" w:eastAsia="zh-CN"/>
        </w:rPr>
        <w:t xml:space="preserve">, </w:t>
      </w:r>
      <w:r>
        <w:rPr>
          <w:sz w:val="20"/>
          <w:szCs w:val="18"/>
        </w:rPr>
        <w:t>RB</w:t>
      </w:r>
      <w:r>
        <w:rPr>
          <w:sz w:val="20"/>
          <w:szCs w:val="18"/>
          <w:vertAlign w:val="subscript"/>
        </w:rPr>
        <w:t>Start</w:t>
      </w:r>
      <w:r>
        <w:rPr>
          <w:rFonts w:hint="eastAsia"/>
          <w:sz w:val="20"/>
          <w:szCs w:val="18"/>
          <w:lang w:val="en-US" w:eastAsia="zh-CN"/>
        </w:rPr>
        <w:t xml:space="preserve">, </w:t>
      </w:r>
      <w:r>
        <w:rPr>
          <w:sz w:val="20"/>
          <w:szCs w:val="18"/>
        </w:rPr>
        <w:t>RB</w:t>
      </w:r>
      <w:r>
        <w:rPr>
          <w:sz w:val="20"/>
          <w:szCs w:val="18"/>
          <w:vertAlign w:val="subscript"/>
        </w:rPr>
        <w:t>Start,High</w:t>
      </w:r>
      <w:r>
        <w:rPr>
          <w:rFonts w:hint="eastAsia"/>
          <w:sz w:val="20"/>
          <w:szCs w:val="18"/>
          <w:vertAlign w:val="baseline"/>
          <w:lang w:val="en-US" w:eastAsia="zh-CN"/>
        </w:rPr>
        <w:t xml:space="preserve"> </w:t>
      </w:r>
      <w:r>
        <w:rPr>
          <w:sz w:val="20"/>
          <w:szCs w:val="18"/>
        </w:rPr>
        <w:t xml:space="preserve">is </w:t>
      </w:r>
      <w:r>
        <w:rPr>
          <w:rFonts w:hint="eastAsia"/>
          <w:sz w:val="20"/>
          <w:szCs w:val="18"/>
          <w:lang w:val="en-US" w:eastAsia="zh-CN"/>
        </w:rPr>
        <w:t>relative to the extended UE CBW.</w:t>
      </w:r>
    </w:p>
    <w:p>
      <w:pPr>
        <w:rPr>
          <w:rFonts w:hint="default"/>
          <w:sz w:val="20"/>
          <w:szCs w:val="18"/>
          <w:lang w:val="en-US" w:eastAsia="zh-CN"/>
        </w:rPr>
      </w:pPr>
      <w:r>
        <w:rPr>
          <w:rFonts w:hint="eastAsia"/>
          <w:sz w:val="20"/>
          <w:szCs w:val="18"/>
          <w:lang w:val="en-US" w:eastAsia="zh-CN"/>
        </w:rPr>
        <w:t xml:space="preserve">For the new inner RB allocation in UE CBW, </w:t>
      </w:r>
      <w:r>
        <w:rPr>
          <w:sz w:val="20"/>
          <w:szCs w:val="18"/>
        </w:rPr>
        <w:t>RB</w:t>
      </w:r>
      <w:r>
        <w:rPr>
          <w:sz w:val="20"/>
          <w:szCs w:val="18"/>
          <w:vertAlign w:val="subscript"/>
        </w:rPr>
        <w:t>Start</w:t>
      </w:r>
      <w:r>
        <w:rPr>
          <w:rFonts w:hint="eastAsia"/>
          <w:sz w:val="20"/>
          <w:szCs w:val="18"/>
          <w:lang w:val="en-US" w:eastAsia="zh-CN"/>
        </w:rPr>
        <w:t xml:space="preserve"> should meet:</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eastAsia"/>
          <w:sz w:val="20"/>
          <w:szCs w:val="18"/>
          <w:vertAlign w:val="subscript"/>
          <w:lang w:val="en-US" w:eastAsia="zh-CN"/>
        </w:rPr>
      </w:pPr>
      <w:r>
        <w:rPr>
          <w:sz w:val="20"/>
          <w:szCs w:val="18"/>
        </w:rPr>
        <w:t>RB</w:t>
      </w:r>
      <w:r>
        <w:rPr>
          <w:rFonts w:hint="eastAsia"/>
          <w:sz w:val="20"/>
          <w:szCs w:val="18"/>
          <w:vertAlign w:val="subscript"/>
          <w:lang w:val="en-US" w:eastAsia="zh-CN"/>
        </w:rPr>
        <w:t>shift</w:t>
      </w:r>
      <w:r>
        <w:rPr>
          <w:sz w:val="20"/>
          <w:szCs w:val="18"/>
          <w:vertAlign w:val="subscript"/>
        </w:rPr>
        <w:t xml:space="preserve">  </w:t>
      </w:r>
      <w:r>
        <w:rPr>
          <w:sz w:val="20"/>
          <w:szCs w:val="18"/>
        </w:rPr>
        <w:t>≤  RB</w:t>
      </w:r>
      <w:r>
        <w:rPr>
          <w:sz w:val="20"/>
          <w:szCs w:val="18"/>
          <w:vertAlign w:val="subscript"/>
        </w:rPr>
        <w:t>Start</w:t>
      </w:r>
      <w:r>
        <w:rPr>
          <w:rFonts w:hint="eastAsia"/>
          <w:sz w:val="20"/>
          <w:szCs w:val="18"/>
          <w:vertAlign w:val="subscript"/>
          <w:lang w:val="en-US" w:eastAsia="zh-CN"/>
        </w:rPr>
        <w:t xml:space="preserve"> </w:t>
      </w:r>
      <w:r>
        <w:rPr>
          <w:sz w:val="20"/>
          <w:szCs w:val="18"/>
          <w:vertAlign w:val="subscript"/>
        </w:rPr>
        <w:t xml:space="preserve"> </w:t>
      </w:r>
      <w:r>
        <w:rPr>
          <w:sz w:val="20"/>
          <w:szCs w:val="18"/>
        </w:rPr>
        <w:t xml:space="preserve">≤  </w:t>
      </w:r>
      <w:r>
        <w:rPr>
          <w:rFonts w:hint="eastAsia"/>
          <w:sz w:val="20"/>
          <w:szCs w:val="18"/>
          <w:lang w:val="en-US" w:eastAsia="zh-CN"/>
        </w:rPr>
        <w:t>N</w:t>
      </w:r>
      <w:r>
        <w:rPr>
          <w:rFonts w:hint="eastAsia"/>
          <w:sz w:val="20"/>
          <w:szCs w:val="18"/>
          <w:vertAlign w:val="subscript"/>
          <w:lang w:val="en-US" w:eastAsia="zh-CN"/>
        </w:rPr>
        <w:t xml:space="preserve">RB </w:t>
      </w:r>
      <w:r>
        <w:rPr>
          <w:rFonts w:hint="eastAsia"/>
          <w:sz w:val="20"/>
          <w:szCs w:val="18"/>
          <w:lang w:val="en-US" w:eastAsia="zh-CN"/>
        </w:rPr>
        <w:t xml:space="preserve">+ </w:t>
      </w:r>
      <w:r>
        <w:rPr>
          <w:sz w:val="20"/>
          <w:szCs w:val="18"/>
        </w:rPr>
        <w:t>RB</w:t>
      </w:r>
      <w:r>
        <w:rPr>
          <w:rFonts w:hint="eastAsia"/>
          <w:sz w:val="20"/>
          <w:szCs w:val="18"/>
          <w:vertAlign w:val="subscript"/>
          <w:lang w:val="en-US" w:eastAsia="zh-CN"/>
        </w:rPr>
        <w:t>shift</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eastAsia"/>
          <w:sz w:val="20"/>
          <w:szCs w:val="18"/>
          <w:lang w:val="en-US" w:eastAsia="zh-CN"/>
        </w:rPr>
      </w:pPr>
      <w:r>
        <w:rPr>
          <w:rFonts w:hint="eastAsia"/>
          <w:sz w:val="20"/>
          <w:szCs w:val="18"/>
          <w:lang w:val="en-US" w:eastAsia="zh-CN"/>
        </w:rPr>
        <w:t>w</w:t>
      </w:r>
      <w:r>
        <w:rPr>
          <w:sz w:val="20"/>
          <w:szCs w:val="18"/>
        </w:rPr>
        <w:t>here</w:t>
      </w:r>
      <w:r>
        <w:rPr>
          <w:rFonts w:hint="eastAsia"/>
          <w:sz w:val="20"/>
          <w:szCs w:val="18"/>
          <w:lang w:val="en-US" w:eastAsia="zh-CN"/>
        </w:rPr>
        <w:t xml:space="preserve"> </w:t>
      </w:r>
      <w:r>
        <w:rPr>
          <w:sz w:val="20"/>
          <w:szCs w:val="18"/>
        </w:rPr>
        <w:t>RB</w:t>
      </w:r>
      <w:r>
        <w:rPr>
          <w:rFonts w:hint="eastAsia"/>
          <w:sz w:val="20"/>
          <w:szCs w:val="18"/>
          <w:vertAlign w:val="subscript"/>
          <w:lang w:val="en-US" w:eastAsia="zh-CN"/>
        </w:rPr>
        <w:t>shift</w:t>
      </w:r>
      <w:r>
        <w:rPr>
          <w:rFonts w:hint="eastAsia"/>
          <w:sz w:val="20"/>
          <w:szCs w:val="18"/>
          <w:lang w:val="en-US" w:eastAsia="zh-CN"/>
        </w:rPr>
        <w:t xml:space="preserve"> is the RB offset between the first RB of UE CBW and the first RB of the extended UE CBW.</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eastAsia"/>
          <w:sz w:val="20"/>
          <w:szCs w:val="18"/>
          <w:lang w:val="en-US" w:eastAsia="zh-CN"/>
        </w:rPr>
      </w:pPr>
      <w:r>
        <w:rPr>
          <w:rFonts w:hint="eastAsia"/>
          <w:sz w:val="20"/>
          <w:szCs w:val="18"/>
          <w:lang w:val="en-US" w:eastAsia="zh-CN"/>
        </w:rPr>
        <w:t>In addition, the new inner RB allocation should be under the hypotenuse of the right triangle of UE RB allocation, which can be expressed by the following equation:</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eastAsia"/>
          <w:sz w:val="20"/>
          <w:szCs w:val="18"/>
          <w:vertAlign w:val="subscript"/>
          <w:lang w:val="en-US" w:eastAsia="zh-CN"/>
        </w:rPr>
      </w:pPr>
      <w:r>
        <w:rPr>
          <w:sz w:val="20"/>
          <w:szCs w:val="18"/>
        </w:rPr>
        <w:t>RB</w:t>
      </w:r>
      <w:r>
        <w:rPr>
          <w:sz w:val="20"/>
          <w:szCs w:val="18"/>
          <w:vertAlign w:val="subscript"/>
        </w:rPr>
        <w:t>Start</w:t>
      </w:r>
      <w:r>
        <w:rPr>
          <w:rFonts w:hint="eastAsia"/>
          <w:sz w:val="20"/>
          <w:szCs w:val="18"/>
          <w:vertAlign w:val="subscript"/>
          <w:lang w:val="en-US" w:eastAsia="zh-CN"/>
        </w:rPr>
        <w:t xml:space="preserve"> </w:t>
      </w:r>
      <w:r>
        <w:rPr>
          <w:rFonts w:hint="default" w:ascii="Times New Roman" w:hAnsi="Times New Roman" w:cs="Times New Roman"/>
          <w:sz w:val="20"/>
          <w:szCs w:val="18"/>
          <w:vertAlign w:val="baseline"/>
          <w:lang w:val="en-US" w:eastAsia="zh-CN"/>
        </w:rPr>
        <w:t>−</w:t>
      </w:r>
      <w:r>
        <w:rPr>
          <w:rFonts w:hint="eastAsia"/>
          <w:sz w:val="20"/>
          <w:szCs w:val="18"/>
          <w:vertAlign w:val="baseline"/>
          <w:lang w:val="en-US" w:eastAsia="zh-CN"/>
        </w:rPr>
        <w:t xml:space="preserve"> </w:t>
      </w:r>
      <w:r>
        <w:rPr>
          <w:sz w:val="20"/>
          <w:szCs w:val="18"/>
        </w:rPr>
        <w:t>RB</w:t>
      </w:r>
      <w:r>
        <w:rPr>
          <w:rFonts w:hint="eastAsia"/>
          <w:sz w:val="20"/>
          <w:szCs w:val="18"/>
          <w:vertAlign w:val="subscript"/>
          <w:lang w:val="en-US" w:eastAsia="zh-CN"/>
        </w:rPr>
        <w:t>shift</w:t>
      </w:r>
      <w:r>
        <w:rPr>
          <w:sz w:val="20"/>
          <w:szCs w:val="18"/>
          <w:vertAlign w:val="baseline"/>
        </w:rPr>
        <w:t xml:space="preserve"> </w:t>
      </w:r>
      <w:r>
        <w:rPr>
          <w:rFonts w:hint="eastAsia"/>
          <w:sz w:val="20"/>
          <w:szCs w:val="18"/>
          <w:vertAlign w:val="baseline"/>
          <w:lang w:val="en-US" w:eastAsia="zh-CN"/>
        </w:rPr>
        <w:t>+</w:t>
      </w:r>
      <w:r>
        <w:rPr>
          <w:sz w:val="20"/>
          <w:szCs w:val="18"/>
          <w:vertAlign w:val="baseline"/>
        </w:rPr>
        <w:t xml:space="preserve"> </w:t>
      </w:r>
      <w:r>
        <w:rPr>
          <w:rFonts w:hint="eastAsia"/>
          <w:sz w:val="20"/>
          <w:szCs w:val="18"/>
          <w:vertAlign w:val="baseline"/>
          <w:lang w:val="en-US" w:eastAsia="zh-CN"/>
        </w:rPr>
        <w:t>L</w:t>
      </w:r>
      <w:r>
        <w:rPr>
          <w:rFonts w:hint="eastAsia"/>
          <w:sz w:val="20"/>
          <w:szCs w:val="18"/>
          <w:vertAlign w:val="subscript"/>
          <w:lang w:val="en-US" w:eastAsia="zh-CN"/>
        </w:rPr>
        <w:t xml:space="preserve">CRB </w:t>
      </w:r>
      <w:r>
        <w:rPr>
          <w:sz w:val="20"/>
          <w:szCs w:val="18"/>
        </w:rPr>
        <w:t xml:space="preserve">≤ </w:t>
      </w:r>
      <w:r>
        <w:rPr>
          <w:rFonts w:hint="eastAsia"/>
          <w:sz w:val="20"/>
          <w:szCs w:val="18"/>
          <w:lang w:val="en-US" w:eastAsia="zh-CN"/>
        </w:rPr>
        <w:t>N</w:t>
      </w:r>
      <w:r>
        <w:rPr>
          <w:rFonts w:hint="eastAsia"/>
          <w:sz w:val="20"/>
          <w:szCs w:val="18"/>
          <w:vertAlign w:val="subscript"/>
          <w:lang w:val="en-US" w:eastAsia="zh-CN"/>
        </w:rPr>
        <w:t>RB</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default"/>
          <w:sz w:val="20"/>
          <w:szCs w:val="18"/>
          <w:lang w:val="en-US" w:eastAsia="zh-CN"/>
        </w:rPr>
      </w:pPr>
      <w:r>
        <w:rPr>
          <w:rFonts w:hint="eastAsia"/>
          <w:sz w:val="20"/>
          <w:szCs w:val="18"/>
          <w:lang w:val="en-US" w:eastAsia="zh-CN"/>
        </w:rPr>
        <w:t>w</w:t>
      </w:r>
      <w:r>
        <w:rPr>
          <w:sz w:val="20"/>
          <w:szCs w:val="18"/>
        </w:rPr>
        <w:t>here</w:t>
      </w:r>
      <w:r>
        <w:rPr>
          <w:rFonts w:hint="eastAsia"/>
          <w:sz w:val="20"/>
          <w:szCs w:val="18"/>
          <w:lang w:val="en-US" w:eastAsia="zh-CN"/>
        </w:rPr>
        <w:t xml:space="preserve"> N</w:t>
      </w:r>
      <w:r>
        <w:rPr>
          <w:rFonts w:hint="eastAsia"/>
          <w:sz w:val="20"/>
          <w:szCs w:val="18"/>
          <w:vertAlign w:val="subscript"/>
          <w:lang w:val="en-US" w:eastAsia="zh-CN"/>
        </w:rPr>
        <w:t>RB</w:t>
      </w:r>
      <w:r>
        <w:rPr>
          <w:rFonts w:hint="eastAsia"/>
          <w:sz w:val="20"/>
          <w:szCs w:val="18"/>
          <w:lang w:val="en-US" w:eastAsia="zh-CN"/>
        </w:rPr>
        <w:t xml:space="preserve"> is the maximum transmission bandwidth configuration of the configured UE channel bandwidth.</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eastAsia"/>
          <w:sz w:val="20"/>
          <w:szCs w:val="18"/>
          <w:vertAlign w:val="baseline"/>
          <w:lang w:val="en-US" w:eastAsia="zh-CN"/>
        </w:rPr>
      </w:pPr>
      <w:r>
        <w:rPr>
          <w:rFonts w:hint="eastAsia"/>
          <w:sz w:val="20"/>
          <w:szCs w:val="18"/>
          <w:vertAlign w:val="baseline"/>
          <w:lang w:val="en-US" w:eastAsia="zh-CN"/>
        </w:rPr>
        <w:t xml:space="preserve">The above can be deduced to </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default"/>
          <w:sz w:val="20"/>
          <w:szCs w:val="18"/>
          <w:vertAlign w:val="subscript"/>
          <w:lang w:val="en-US" w:eastAsia="zh-CN"/>
        </w:rPr>
      </w:pPr>
      <w:r>
        <w:rPr>
          <w:sz w:val="20"/>
          <w:szCs w:val="18"/>
        </w:rPr>
        <w:t>RB</w:t>
      </w:r>
      <w:r>
        <w:rPr>
          <w:sz w:val="20"/>
          <w:szCs w:val="18"/>
          <w:vertAlign w:val="subscript"/>
        </w:rPr>
        <w:t>Start</w:t>
      </w:r>
      <w:r>
        <w:rPr>
          <w:sz w:val="20"/>
          <w:szCs w:val="18"/>
          <w:vertAlign w:val="baseline"/>
        </w:rPr>
        <w:t xml:space="preserve"> </w:t>
      </w:r>
      <w:r>
        <w:rPr>
          <w:sz w:val="20"/>
          <w:szCs w:val="18"/>
        </w:rPr>
        <w:t xml:space="preserve">≤ </w:t>
      </w:r>
      <w:r>
        <w:rPr>
          <w:rFonts w:hint="eastAsia"/>
          <w:sz w:val="20"/>
          <w:szCs w:val="18"/>
          <w:lang w:val="en-US" w:eastAsia="zh-CN"/>
        </w:rPr>
        <w:t>N</w:t>
      </w:r>
      <w:r>
        <w:rPr>
          <w:rFonts w:hint="eastAsia"/>
          <w:sz w:val="20"/>
          <w:szCs w:val="18"/>
          <w:vertAlign w:val="subscript"/>
          <w:lang w:val="en-US" w:eastAsia="zh-CN"/>
        </w:rPr>
        <w:t>RB</w:t>
      </w:r>
      <w:r>
        <w:rPr>
          <w:rFonts w:hint="eastAsia"/>
          <w:sz w:val="20"/>
          <w:szCs w:val="18"/>
          <w:vertAlign w:val="baseline"/>
          <w:lang w:val="en-US" w:eastAsia="zh-CN"/>
        </w:rPr>
        <w:t xml:space="preserve"> +</w:t>
      </w:r>
      <w:r>
        <w:rPr>
          <w:sz w:val="20"/>
          <w:szCs w:val="18"/>
          <w:vertAlign w:val="baseline"/>
        </w:rPr>
        <w:t xml:space="preserve"> </w:t>
      </w:r>
      <w:r>
        <w:rPr>
          <w:sz w:val="20"/>
          <w:szCs w:val="18"/>
        </w:rPr>
        <w:t>RB</w:t>
      </w:r>
      <w:r>
        <w:rPr>
          <w:rFonts w:hint="eastAsia"/>
          <w:sz w:val="20"/>
          <w:szCs w:val="18"/>
          <w:vertAlign w:val="subscript"/>
          <w:lang w:val="en-US" w:eastAsia="zh-CN"/>
        </w:rPr>
        <w:t xml:space="preserve">shift </w:t>
      </w:r>
      <w:r>
        <w:rPr>
          <w:rFonts w:hint="default" w:ascii="Times New Roman" w:hAnsi="Times New Roman" w:cs="Times New Roman"/>
          <w:sz w:val="20"/>
          <w:szCs w:val="18"/>
          <w:vertAlign w:val="baseline"/>
          <w:lang w:val="en-US" w:eastAsia="zh-CN"/>
        </w:rPr>
        <w:t>−</w:t>
      </w:r>
      <w:r>
        <w:rPr>
          <w:rFonts w:hint="eastAsia" w:cs="Times New Roman"/>
          <w:sz w:val="20"/>
          <w:szCs w:val="18"/>
          <w:vertAlign w:val="baseline"/>
          <w:lang w:val="en-US" w:eastAsia="zh-CN"/>
        </w:rPr>
        <w:t xml:space="preserve"> </w:t>
      </w:r>
      <w:r>
        <w:rPr>
          <w:rFonts w:hint="eastAsia"/>
          <w:sz w:val="20"/>
          <w:szCs w:val="18"/>
          <w:vertAlign w:val="baseline"/>
          <w:lang w:val="en-US" w:eastAsia="zh-CN"/>
        </w:rPr>
        <w:t>L</w:t>
      </w:r>
      <w:r>
        <w:rPr>
          <w:rFonts w:hint="eastAsia"/>
          <w:sz w:val="20"/>
          <w:szCs w:val="18"/>
          <w:vertAlign w:val="subscript"/>
          <w:lang w:val="en-US" w:eastAsia="zh-CN"/>
        </w:rPr>
        <w:t xml:space="preserve">CRB </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eastAsia"/>
          <w:sz w:val="20"/>
          <w:szCs w:val="18"/>
          <w:vertAlign w:val="baseline"/>
          <w:lang w:val="en-US" w:eastAsia="zh-CN"/>
        </w:rPr>
      </w:pPr>
      <w:r>
        <w:rPr>
          <w:rFonts w:hint="eastAsia"/>
          <w:sz w:val="20"/>
          <w:szCs w:val="18"/>
          <w:vertAlign w:val="baseline"/>
          <w:lang w:val="en-US" w:eastAsia="zh-CN"/>
        </w:rPr>
        <w:t>Based on the above analysis, the new inner RB allocation in UE CBW can be defined based on the extended UE CBW as follows:</w:t>
      </w:r>
    </w:p>
    <w:p>
      <w:pPr>
        <w:pStyle w:val="50"/>
        <w:keepNext w:val="0"/>
        <w:keepLines/>
        <w:pageBreakBefore w:val="0"/>
        <w:widowControl/>
        <w:kinsoku/>
        <w:wordWrap/>
        <w:overflowPunct/>
        <w:topLinePunct w:val="0"/>
        <w:autoSpaceDE/>
        <w:autoSpaceDN/>
        <w:bidi w:val="0"/>
        <w:adjustRightInd/>
        <w:snapToGrid/>
        <w:spacing w:line="260" w:lineRule="auto"/>
        <w:ind w:left="0" w:firstLine="0" w:firstLineChars="0"/>
        <w:jc w:val="both"/>
        <w:textAlignment w:val="auto"/>
        <w:rPr>
          <w:sz w:val="20"/>
          <w:szCs w:val="18"/>
        </w:rPr>
      </w:pPr>
      <w:r>
        <w:rPr>
          <w:sz w:val="20"/>
          <w:szCs w:val="18"/>
        </w:rPr>
        <w:t>N</w:t>
      </w:r>
      <w:r>
        <w:rPr>
          <w:sz w:val="20"/>
          <w:szCs w:val="18"/>
          <w:vertAlign w:val="subscript"/>
        </w:rPr>
        <w:t>RB</w:t>
      </w:r>
      <w:r>
        <w:rPr>
          <w:rFonts w:hint="eastAsia"/>
          <w:sz w:val="20"/>
          <w:szCs w:val="18"/>
          <w:vertAlign w:val="subscript"/>
          <w:lang w:val="en-US" w:eastAsia="zh-CN"/>
        </w:rPr>
        <w:t>,extended</w:t>
      </w:r>
      <w:r>
        <w:rPr>
          <w:sz w:val="20"/>
          <w:szCs w:val="18"/>
          <w:vertAlign w:val="subscript"/>
        </w:rPr>
        <w:t xml:space="preserve"> </w:t>
      </w:r>
      <w:r>
        <w:rPr>
          <w:sz w:val="20"/>
          <w:szCs w:val="18"/>
        </w:rPr>
        <w:t xml:space="preserve">is the maximum </w:t>
      </w:r>
      <w:r>
        <w:rPr>
          <w:rFonts w:hint="eastAsia"/>
          <w:sz w:val="20"/>
          <w:szCs w:val="18"/>
          <w:lang w:val="en-US" w:eastAsia="zh-CN"/>
        </w:rPr>
        <w:t>transmission bandwidth configuration of the extended channel bandwidth</w:t>
      </w:r>
      <w:r>
        <w:rPr>
          <w:sz w:val="20"/>
          <w:szCs w:val="18"/>
        </w:rPr>
        <w:t xml:space="preserve">. </w:t>
      </w:r>
    </w:p>
    <w:p>
      <w:pPr>
        <w:pStyle w:val="50"/>
        <w:jc w:val="center"/>
        <w:rPr>
          <w:sz w:val="20"/>
          <w:szCs w:val="18"/>
        </w:rPr>
      </w:pPr>
      <w:r>
        <w:rPr>
          <w:sz w:val="20"/>
          <w:szCs w:val="18"/>
        </w:rPr>
        <w:t>RB</w:t>
      </w:r>
      <w:r>
        <w:rPr>
          <w:sz w:val="20"/>
          <w:szCs w:val="18"/>
          <w:vertAlign w:val="subscript"/>
        </w:rPr>
        <w:t>Start,Low</w:t>
      </w:r>
      <w:r>
        <w:rPr>
          <w:sz w:val="20"/>
          <w:szCs w:val="18"/>
        </w:rPr>
        <w:t xml:space="preserve"> = max(1, floor(L</w:t>
      </w:r>
      <w:r>
        <w:rPr>
          <w:sz w:val="20"/>
          <w:szCs w:val="18"/>
          <w:vertAlign w:val="subscript"/>
        </w:rPr>
        <w:t>CRB</w:t>
      </w:r>
      <w:r>
        <w:rPr>
          <w:sz w:val="20"/>
          <w:szCs w:val="18"/>
        </w:rPr>
        <w:t>/2))</w:t>
      </w:r>
    </w:p>
    <w:p>
      <w:pPr>
        <w:rPr>
          <w:sz w:val="20"/>
          <w:szCs w:val="18"/>
        </w:rPr>
      </w:pPr>
      <w:r>
        <w:rPr>
          <w:sz w:val="20"/>
          <w:szCs w:val="18"/>
        </w:rPr>
        <w:t>where max() indicates the largest value of all arguments and floor(x) is the greatest integer less than or equal to x.</w:t>
      </w:r>
    </w:p>
    <w:p>
      <w:pPr>
        <w:pStyle w:val="50"/>
        <w:jc w:val="center"/>
        <w:rPr>
          <w:sz w:val="20"/>
          <w:szCs w:val="18"/>
        </w:rPr>
      </w:pPr>
      <w:r>
        <w:rPr>
          <w:sz w:val="20"/>
          <w:szCs w:val="18"/>
        </w:rPr>
        <w:t>RB</w:t>
      </w:r>
      <w:r>
        <w:rPr>
          <w:sz w:val="20"/>
          <w:szCs w:val="18"/>
          <w:vertAlign w:val="subscript"/>
        </w:rPr>
        <w:t>Start,High</w:t>
      </w:r>
      <w:r>
        <w:rPr>
          <w:sz w:val="20"/>
          <w:szCs w:val="18"/>
        </w:rPr>
        <w:t xml:space="preserve"> = N</w:t>
      </w:r>
      <w:r>
        <w:rPr>
          <w:sz w:val="20"/>
          <w:szCs w:val="18"/>
          <w:vertAlign w:val="subscript"/>
        </w:rPr>
        <w:t>RB</w:t>
      </w:r>
      <w:r>
        <w:rPr>
          <w:rFonts w:hint="eastAsia"/>
          <w:sz w:val="20"/>
          <w:szCs w:val="18"/>
          <w:vertAlign w:val="subscript"/>
          <w:lang w:val="en-US" w:eastAsia="zh-CN"/>
        </w:rPr>
        <w:t>,extended</w:t>
      </w:r>
      <w:r>
        <w:rPr>
          <w:sz w:val="20"/>
          <w:szCs w:val="18"/>
        </w:rPr>
        <w:t xml:space="preserve"> – RB</w:t>
      </w:r>
      <w:r>
        <w:rPr>
          <w:sz w:val="20"/>
          <w:szCs w:val="18"/>
          <w:vertAlign w:val="subscript"/>
        </w:rPr>
        <w:t>Start,Low</w:t>
      </w:r>
      <w:r>
        <w:rPr>
          <w:sz w:val="20"/>
          <w:szCs w:val="18"/>
        </w:rPr>
        <w:t xml:space="preserve"> – L</w:t>
      </w:r>
      <w:r>
        <w:rPr>
          <w:sz w:val="20"/>
          <w:szCs w:val="18"/>
          <w:vertAlign w:val="subscript"/>
        </w:rPr>
        <w:t>CRB</w:t>
      </w:r>
    </w:p>
    <w:p>
      <w:pPr>
        <w:rPr>
          <w:sz w:val="20"/>
          <w:szCs w:val="18"/>
        </w:rPr>
      </w:pPr>
      <w:r>
        <w:rPr>
          <w:sz w:val="20"/>
          <w:szCs w:val="18"/>
        </w:rPr>
        <w:t>The RB allocation is an Inner RB allocation if the following conditions are met</w:t>
      </w:r>
    </w:p>
    <w:p>
      <w:pPr>
        <w:pStyle w:val="50"/>
        <w:jc w:val="center"/>
        <w:rPr>
          <w:rFonts w:hint="eastAsia"/>
          <w:sz w:val="20"/>
          <w:szCs w:val="18"/>
          <w:lang w:val="en-US" w:eastAsia="zh-CN"/>
        </w:rPr>
      </w:pPr>
      <w:r>
        <w:rPr>
          <w:sz w:val="20"/>
          <w:szCs w:val="18"/>
        </w:rPr>
        <w:t>RB</w:t>
      </w:r>
      <w:r>
        <w:rPr>
          <w:sz w:val="20"/>
          <w:szCs w:val="18"/>
          <w:vertAlign w:val="subscript"/>
        </w:rPr>
        <w:t xml:space="preserve">Start,Low  </w:t>
      </w:r>
      <w:r>
        <w:rPr>
          <w:sz w:val="20"/>
          <w:szCs w:val="18"/>
        </w:rPr>
        <w:t>≤  RB</w:t>
      </w:r>
      <w:r>
        <w:rPr>
          <w:sz w:val="20"/>
          <w:szCs w:val="18"/>
          <w:vertAlign w:val="subscript"/>
        </w:rPr>
        <w:t>Start</w:t>
      </w:r>
      <w:r>
        <w:rPr>
          <w:rFonts w:hint="eastAsia"/>
          <w:sz w:val="20"/>
          <w:szCs w:val="18"/>
          <w:vertAlign w:val="subscript"/>
          <w:lang w:val="en-US" w:eastAsia="zh-CN"/>
        </w:rPr>
        <w:t xml:space="preserve"> </w:t>
      </w:r>
      <w:r>
        <w:rPr>
          <w:sz w:val="20"/>
          <w:szCs w:val="18"/>
          <w:vertAlign w:val="subscript"/>
        </w:rPr>
        <w:t xml:space="preserve"> </w:t>
      </w:r>
      <w:r>
        <w:rPr>
          <w:sz w:val="20"/>
          <w:szCs w:val="18"/>
        </w:rPr>
        <w:t>≤  RB</w:t>
      </w:r>
      <w:r>
        <w:rPr>
          <w:sz w:val="20"/>
          <w:szCs w:val="18"/>
          <w:vertAlign w:val="subscript"/>
        </w:rPr>
        <w:t>Start,High</w:t>
      </w:r>
      <w:r>
        <w:rPr>
          <w:sz w:val="20"/>
          <w:szCs w:val="18"/>
        </w:rPr>
        <w:t>,</w:t>
      </w:r>
      <w:r>
        <w:rPr>
          <w:sz w:val="20"/>
          <w:szCs w:val="18"/>
          <w:vertAlign w:val="subscript"/>
        </w:rPr>
        <w:t xml:space="preserve"> </w:t>
      </w:r>
      <w:r>
        <w:rPr>
          <w:sz w:val="20"/>
          <w:szCs w:val="18"/>
        </w:rPr>
        <w:t>and</w:t>
      </w:r>
      <w:r>
        <w:rPr>
          <w:rFonts w:hint="eastAsia"/>
          <w:sz w:val="20"/>
          <w:szCs w:val="18"/>
          <w:lang w:val="en-US" w:eastAsia="zh-CN"/>
        </w:rPr>
        <w:t xml:space="preserve"> </w:t>
      </w:r>
    </w:p>
    <w:p>
      <w:pPr>
        <w:jc w:val="center"/>
        <w:rPr>
          <w:rFonts w:hint="eastAsia"/>
          <w:sz w:val="20"/>
          <w:szCs w:val="18"/>
          <w:vertAlign w:val="subscript"/>
          <w:lang w:val="en-US" w:eastAsia="zh-CN"/>
        </w:rPr>
      </w:pPr>
      <w:r>
        <w:rPr>
          <w:sz w:val="20"/>
          <w:szCs w:val="18"/>
        </w:rPr>
        <w:t>RB</w:t>
      </w:r>
      <w:r>
        <w:rPr>
          <w:rFonts w:hint="eastAsia"/>
          <w:sz w:val="20"/>
          <w:szCs w:val="18"/>
          <w:vertAlign w:val="subscript"/>
          <w:lang w:val="en-US" w:eastAsia="zh-CN"/>
        </w:rPr>
        <w:t>shift</w:t>
      </w:r>
      <w:r>
        <w:rPr>
          <w:sz w:val="20"/>
          <w:szCs w:val="18"/>
          <w:vertAlign w:val="subscript"/>
        </w:rPr>
        <w:t xml:space="preserve">  </w:t>
      </w:r>
      <w:r>
        <w:rPr>
          <w:sz w:val="20"/>
          <w:szCs w:val="18"/>
        </w:rPr>
        <w:t>≤  RB</w:t>
      </w:r>
      <w:r>
        <w:rPr>
          <w:sz w:val="20"/>
          <w:szCs w:val="18"/>
          <w:vertAlign w:val="subscript"/>
        </w:rPr>
        <w:t>Start</w:t>
      </w:r>
      <w:r>
        <w:rPr>
          <w:rFonts w:hint="eastAsia"/>
          <w:sz w:val="20"/>
          <w:szCs w:val="18"/>
          <w:vertAlign w:val="subscript"/>
          <w:lang w:val="en-US" w:eastAsia="zh-CN"/>
        </w:rPr>
        <w:t xml:space="preserve"> </w:t>
      </w:r>
      <w:r>
        <w:rPr>
          <w:sz w:val="20"/>
          <w:szCs w:val="18"/>
          <w:vertAlign w:val="subscript"/>
        </w:rPr>
        <w:t xml:space="preserve"> </w:t>
      </w:r>
      <w:r>
        <w:rPr>
          <w:sz w:val="20"/>
          <w:szCs w:val="18"/>
        </w:rPr>
        <w:t xml:space="preserve">≤  </w:t>
      </w:r>
      <w:r>
        <w:rPr>
          <w:rFonts w:hint="eastAsia"/>
          <w:sz w:val="20"/>
          <w:szCs w:val="18"/>
          <w:lang w:val="en-US" w:eastAsia="zh-CN"/>
        </w:rPr>
        <w:t>N</w:t>
      </w:r>
      <w:r>
        <w:rPr>
          <w:rFonts w:hint="eastAsia"/>
          <w:sz w:val="20"/>
          <w:szCs w:val="18"/>
          <w:vertAlign w:val="subscript"/>
          <w:lang w:val="en-US" w:eastAsia="zh-CN"/>
        </w:rPr>
        <w:t xml:space="preserve">RB </w:t>
      </w:r>
      <w:r>
        <w:rPr>
          <w:rFonts w:hint="eastAsia"/>
          <w:sz w:val="20"/>
          <w:szCs w:val="18"/>
          <w:lang w:val="en-US" w:eastAsia="zh-CN"/>
        </w:rPr>
        <w:t xml:space="preserve">+ </w:t>
      </w:r>
      <w:r>
        <w:rPr>
          <w:sz w:val="20"/>
          <w:szCs w:val="18"/>
        </w:rPr>
        <w:t>RB</w:t>
      </w:r>
      <w:r>
        <w:rPr>
          <w:rFonts w:hint="eastAsia"/>
          <w:sz w:val="20"/>
          <w:szCs w:val="18"/>
          <w:vertAlign w:val="subscript"/>
          <w:lang w:val="en-US" w:eastAsia="zh-CN"/>
        </w:rPr>
        <w:t>shift</w:t>
      </w:r>
      <w:r>
        <w:rPr>
          <w:sz w:val="20"/>
          <w:szCs w:val="18"/>
        </w:rPr>
        <w:t>,</w:t>
      </w:r>
      <w:r>
        <w:rPr>
          <w:sz w:val="20"/>
          <w:szCs w:val="18"/>
          <w:vertAlign w:val="subscript"/>
        </w:rPr>
        <w:t xml:space="preserve"> </w:t>
      </w:r>
      <w:r>
        <w:rPr>
          <w:sz w:val="20"/>
          <w:szCs w:val="18"/>
        </w:rPr>
        <w:t>and</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eastAsia"/>
          <w:sz w:val="20"/>
          <w:szCs w:val="18"/>
          <w:vertAlign w:val="subscript"/>
          <w:lang w:val="en-US" w:eastAsia="zh-CN"/>
        </w:rPr>
      </w:pPr>
      <w:r>
        <w:rPr>
          <w:sz w:val="20"/>
          <w:szCs w:val="18"/>
        </w:rPr>
        <w:t>RB</w:t>
      </w:r>
      <w:r>
        <w:rPr>
          <w:sz w:val="20"/>
          <w:szCs w:val="18"/>
          <w:vertAlign w:val="subscript"/>
        </w:rPr>
        <w:t>Start</w:t>
      </w:r>
      <w:r>
        <w:rPr>
          <w:sz w:val="20"/>
          <w:szCs w:val="18"/>
          <w:vertAlign w:val="baseline"/>
        </w:rPr>
        <w:t xml:space="preserve"> </w:t>
      </w:r>
      <w:r>
        <w:rPr>
          <w:sz w:val="20"/>
          <w:szCs w:val="18"/>
        </w:rPr>
        <w:t xml:space="preserve">≤ </w:t>
      </w:r>
      <w:r>
        <w:rPr>
          <w:rFonts w:hint="eastAsia"/>
          <w:sz w:val="20"/>
          <w:szCs w:val="18"/>
          <w:lang w:val="en-US" w:eastAsia="zh-CN"/>
        </w:rPr>
        <w:t>N</w:t>
      </w:r>
      <w:r>
        <w:rPr>
          <w:rFonts w:hint="eastAsia"/>
          <w:sz w:val="20"/>
          <w:szCs w:val="18"/>
          <w:vertAlign w:val="subscript"/>
          <w:lang w:val="en-US" w:eastAsia="zh-CN"/>
        </w:rPr>
        <w:t>RB</w:t>
      </w:r>
      <w:r>
        <w:rPr>
          <w:rFonts w:hint="eastAsia"/>
          <w:sz w:val="20"/>
          <w:szCs w:val="18"/>
          <w:vertAlign w:val="baseline"/>
          <w:lang w:val="en-US" w:eastAsia="zh-CN"/>
        </w:rPr>
        <w:t xml:space="preserve"> +</w:t>
      </w:r>
      <w:r>
        <w:rPr>
          <w:sz w:val="20"/>
          <w:szCs w:val="18"/>
          <w:vertAlign w:val="baseline"/>
        </w:rPr>
        <w:t xml:space="preserve"> </w:t>
      </w:r>
      <w:r>
        <w:rPr>
          <w:sz w:val="20"/>
          <w:szCs w:val="18"/>
        </w:rPr>
        <w:t>RB</w:t>
      </w:r>
      <w:r>
        <w:rPr>
          <w:rFonts w:hint="eastAsia"/>
          <w:sz w:val="20"/>
          <w:szCs w:val="18"/>
          <w:vertAlign w:val="subscript"/>
          <w:lang w:val="en-US" w:eastAsia="zh-CN"/>
        </w:rPr>
        <w:t xml:space="preserve">shift </w:t>
      </w:r>
      <w:r>
        <w:rPr>
          <w:rFonts w:hint="default" w:ascii="Times New Roman" w:hAnsi="Times New Roman" w:cs="Times New Roman"/>
          <w:sz w:val="20"/>
          <w:szCs w:val="18"/>
          <w:vertAlign w:val="baseline"/>
          <w:lang w:val="en-US" w:eastAsia="zh-CN"/>
        </w:rPr>
        <w:t>−</w:t>
      </w:r>
      <w:r>
        <w:rPr>
          <w:rFonts w:hint="eastAsia" w:cs="Times New Roman"/>
          <w:sz w:val="20"/>
          <w:szCs w:val="18"/>
          <w:vertAlign w:val="baseline"/>
          <w:lang w:val="en-US" w:eastAsia="zh-CN"/>
        </w:rPr>
        <w:t xml:space="preserve"> </w:t>
      </w:r>
      <w:r>
        <w:rPr>
          <w:rFonts w:hint="eastAsia"/>
          <w:sz w:val="20"/>
          <w:szCs w:val="18"/>
          <w:vertAlign w:val="baseline"/>
          <w:lang w:val="en-US" w:eastAsia="zh-CN"/>
        </w:rPr>
        <w:t>L</w:t>
      </w:r>
      <w:r>
        <w:rPr>
          <w:rFonts w:hint="eastAsia"/>
          <w:sz w:val="20"/>
          <w:szCs w:val="18"/>
          <w:vertAlign w:val="subscript"/>
          <w:lang w:val="en-US" w:eastAsia="zh-CN"/>
        </w:rPr>
        <w:t>CRB</w:t>
      </w:r>
      <w:r>
        <w:rPr>
          <w:sz w:val="20"/>
          <w:szCs w:val="18"/>
        </w:rPr>
        <w:t>,</w:t>
      </w:r>
      <w:r>
        <w:rPr>
          <w:sz w:val="20"/>
          <w:szCs w:val="18"/>
          <w:vertAlign w:val="subscript"/>
        </w:rPr>
        <w:t xml:space="preserve"> </w:t>
      </w:r>
      <w:r>
        <w:rPr>
          <w:sz w:val="20"/>
          <w:szCs w:val="18"/>
        </w:rPr>
        <w:t>and</w:t>
      </w:r>
      <w:r>
        <w:rPr>
          <w:rFonts w:hint="eastAsia"/>
          <w:sz w:val="20"/>
          <w:szCs w:val="18"/>
          <w:vertAlign w:val="subscript"/>
          <w:lang w:val="en-US" w:eastAsia="zh-CN"/>
        </w:rPr>
        <w:t xml:space="preserve"> </w:t>
      </w:r>
    </w:p>
    <w:p>
      <w:pPr>
        <w:pStyle w:val="50"/>
        <w:jc w:val="center"/>
        <w:rPr>
          <w:sz w:val="20"/>
          <w:szCs w:val="18"/>
        </w:rPr>
      </w:pPr>
      <w:r>
        <w:rPr>
          <w:sz w:val="20"/>
          <w:szCs w:val="18"/>
        </w:rPr>
        <w:t>L</w:t>
      </w:r>
      <w:r>
        <w:rPr>
          <w:sz w:val="20"/>
          <w:szCs w:val="18"/>
          <w:vertAlign w:val="subscript"/>
        </w:rPr>
        <w:t xml:space="preserve">CRB  </w:t>
      </w:r>
      <w:r>
        <w:rPr>
          <w:sz w:val="20"/>
          <w:szCs w:val="18"/>
        </w:rPr>
        <w:t>≤  ceil(N</w:t>
      </w:r>
      <w:r>
        <w:rPr>
          <w:sz w:val="20"/>
          <w:szCs w:val="18"/>
          <w:vertAlign w:val="subscript"/>
        </w:rPr>
        <w:t>RB</w:t>
      </w:r>
      <w:r>
        <w:rPr>
          <w:rFonts w:hint="eastAsia"/>
          <w:sz w:val="20"/>
          <w:szCs w:val="18"/>
          <w:vertAlign w:val="subscript"/>
          <w:lang w:val="en-US" w:eastAsia="zh-CN"/>
        </w:rPr>
        <w:t>,extended</w:t>
      </w:r>
      <w:r>
        <w:rPr>
          <w:sz w:val="20"/>
          <w:szCs w:val="18"/>
        </w:rPr>
        <w:t>/2)</w:t>
      </w:r>
    </w:p>
    <w:p>
      <w:pPr>
        <w:rPr>
          <w:rFonts w:hint="eastAsia"/>
          <w:sz w:val="20"/>
          <w:szCs w:val="18"/>
          <w:lang w:val="en-US" w:eastAsia="zh-CN"/>
        </w:rPr>
      </w:pPr>
      <w:r>
        <w:rPr>
          <w:sz w:val="20"/>
          <w:szCs w:val="18"/>
        </w:rPr>
        <w:t>where ceil(x) is the smallest integer greater than or equal to x</w:t>
      </w:r>
      <w:r>
        <w:rPr>
          <w:rFonts w:hint="eastAsia"/>
          <w:sz w:val="20"/>
          <w:szCs w:val="1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eastAsia"/>
          <w:b/>
          <w:bCs/>
          <w:sz w:val="20"/>
          <w:szCs w:val="18"/>
          <w:vertAlign w:val="baseline"/>
          <w:lang w:val="en-US" w:eastAsia="zh-CN"/>
        </w:rPr>
      </w:pPr>
      <w:r>
        <w:rPr>
          <w:rFonts w:hint="eastAsia"/>
          <w:b/>
          <w:bCs/>
          <w:i w:val="0"/>
          <w:iCs w:val="0"/>
          <w:sz w:val="20"/>
          <w:szCs w:val="20"/>
          <w:lang w:val="en-US" w:eastAsia="zh-CN"/>
        </w:rPr>
        <w:t>Proposal 2: T</w:t>
      </w:r>
      <w:r>
        <w:rPr>
          <w:rFonts w:hint="eastAsia"/>
          <w:b/>
          <w:bCs/>
          <w:sz w:val="20"/>
          <w:szCs w:val="18"/>
          <w:vertAlign w:val="baseline"/>
          <w:lang w:val="en-US" w:eastAsia="zh-CN"/>
        </w:rPr>
        <w:t>he new inner RB allocation in UE CBW can be defined based on the extended UE CBW as follows:</w:t>
      </w:r>
    </w:p>
    <w:p>
      <w:pPr>
        <w:pStyle w:val="50"/>
        <w:keepNext w:val="0"/>
        <w:keepLines/>
        <w:pageBreakBefore w:val="0"/>
        <w:widowControl/>
        <w:kinsoku/>
        <w:wordWrap/>
        <w:overflowPunct/>
        <w:topLinePunct w:val="0"/>
        <w:autoSpaceDE/>
        <w:autoSpaceDN/>
        <w:bidi w:val="0"/>
        <w:adjustRightInd/>
        <w:snapToGrid/>
        <w:spacing w:line="260" w:lineRule="auto"/>
        <w:ind w:left="0" w:firstLine="0" w:firstLineChars="0"/>
        <w:jc w:val="both"/>
        <w:textAlignment w:val="auto"/>
        <w:rPr>
          <w:rFonts w:hint="eastAsia" w:eastAsia="宋体"/>
          <w:b/>
          <w:bCs/>
          <w:sz w:val="20"/>
          <w:szCs w:val="18"/>
          <w:lang w:val="en-US" w:eastAsia="zh-CN"/>
        </w:rPr>
      </w:pPr>
      <w:r>
        <w:rPr>
          <w:b/>
          <w:bCs/>
          <w:sz w:val="20"/>
          <w:szCs w:val="18"/>
        </w:rPr>
        <w:t>N</w:t>
      </w:r>
      <w:r>
        <w:rPr>
          <w:b/>
          <w:bCs/>
          <w:sz w:val="20"/>
          <w:szCs w:val="18"/>
          <w:vertAlign w:val="subscript"/>
        </w:rPr>
        <w:t>RB</w:t>
      </w:r>
      <w:r>
        <w:rPr>
          <w:rFonts w:hint="eastAsia"/>
          <w:b/>
          <w:bCs/>
          <w:sz w:val="20"/>
          <w:szCs w:val="18"/>
          <w:vertAlign w:val="subscript"/>
          <w:lang w:val="en-US" w:eastAsia="zh-CN"/>
        </w:rPr>
        <w:t>,extended</w:t>
      </w:r>
      <w:r>
        <w:rPr>
          <w:b/>
          <w:bCs/>
          <w:sz w:val="20"/>
          <w:szCs w:val="18"/>
          <w:vertAlign w:val="subscript"/>
        </w:rPr>
        <w:t xml:space="preserve"> </w:t>
      </w:r>
      <w:r>
        <w:rPr>
          <w:rFonts w:hint="eastAsia"/>
          <w:b/>
          <w:bCs/>
          <w:sz w:val="20"/>
          <w:szCs w:val="18"/>
          <w:lang w:val="en-US" w:eastAsia="zh-CN"/>
        </w:rPr>
        <w:t>an</w:t>
      </w:r>
      <w:r>
        <w:rPr>
          <w:rFonts w:hint="eastAsia"/>
          <w:b/>
          <w:bCs/>
          <w:sz w:val="20"/>
          <w:szCs w:val="18"/>
          <w:lang w:val="en-US" w:eastAsia="zh-CN"/>
        </w:rPr>
        <w:t>d N</w:t>
      </w:r>
      <w:r>
        <w:rPr>
          <w:rFonts w:hint="eastAsia"/>
          <w:b/>
          <w:bCs/>
          <w:sz w:val="20"/>
          <w:szCs w:val="18"/>
          <w:vertAlign w:val="subscript"/>
          <w:lang w:val="en-US" w:eastAsia="zh-CN"/>
        </w:rPr>
        <w:t>RB</w:t>
      </w:r>
      <w:r>
        <w:rPr>
          <w:rFonts w:hint="eastAsia"/>
          <w:b/>
          <w:bCs/>
          <w:sz w:val="20"/>
          <w:szCs w:val="18"/>
          <w:lang w:val="en-US" w:eastAsia="zh-CN"/>
        </w:rPr>
        <w:t xml:space="preserve"> </w:t>
      </w:r>
      <w:r>
        <w:rPr>
          <w:rFonts w:hint="eastAsia"/>
          <w:b/>
          <w:bCs/>
          <w:sz w:val="20"/>
          <w:szCs w:val="18"/>
          <w:lang w:val="en-US" w:eastAsia="zh-CN"/>
        </w:rPr>
        <w:t>are</w:t>
      </w:r>
      <w:r>
        <w:rPr>
          <w:b/>
          <w:bCs/>
          <w:sz w:val="20"/>
          <w:szCs w:val="18"/>
        </w:rPr>
        <w:t xml:space="preserve"> the maximum </w:t>
      </w:r>
      <w:r>
        <w:rPr>
          <w:rFonts w:hint="eastAsia"/>
          <w:b/>
          <w:bCs/>
          <w:sz w:val="20"/>
          <w:szCs w:val="18"/>
          <w:lang w:val="en-US" w:eastAsia="zh-CN"/>
        </w:rPr>
        <w:t>transmission bandwidth configuration of the extended channel bandwidth and configured UE channel bandwidth respectively</w:t>
      </w:r>
      <w:r>
        <w:rPr>
          <w:b/>
          <w:bCs/>
          <w:sz w:val="20"/>
          <w:szCs w:val="18"/>
        </w:rPr>
        <w:t xml:space="preserve">. </w:t>
      </w:r>
    </w:p>
    <w:p>
      <w:pPr>
        <w:pStyle w:val="50"/>
        <w:jc w:val="center"/>
        <w:rPr>
          <w:b/>
          <w:bCs/>
          <w:sz w:val="20"/>
          <w:szCs w:val="18"/>
        </w:rPr>
      </w:pPr>
      <w:r>
        <w:rPr>
          <w:b/>
          <w:bCs/>
          <w:sz w:val="20"/>
          <w:szCs w:val="18"/>
        </w:rPr>
        <w:t>RB</w:t>
      </w:r>
      <w:r>
        <w:rPr>
          <w:b/>
          <w:bCs/>
          <w:sz w:val="20"/>
          <w:szCs w:val="18"/>
          <w:vertAlign w:val="subscript"/>
        </w:rPr>
        <w:t>Start,Low</w:t>
      </w:r>
      <w:r>
        <w:rPr>
          <w:b/>
          <w:bCs/>
          <w:sz w:val="20"/>
          <w:szCs w:val="18"/>
        </w:rPr>
        <w:t xml:space="preserve"> = max(1, floor(L</w:t>
      </w:r>
      <w:r>
        <w:rPr>
          <w:b/>
          <w:bCs/>
          <w:sz w:val="20"/>
          <w:szCs w:val="18"/>
          <w:vertAlign w:val="subscript"/>
        </w:rPr>
        <w:t>CRB</w:t>
      </w:r>
      <w:r>
        <w:rPr>
          <w:b/>
          <w:bCs/>
          <w:sz w:val="20"/>
          <w:szCs w:val="18"/>
        </w:rPr>
        <w:t>/2))</w:t>
      </w:r>
    </w:p>
    <w:p>
      <w:pPr>
        <w:rPr>
          <w:b/>
          <w:bCs/>
          <w:sz w:val="20"/>
          <w:szCs w:val="18"/>
        </w:rPr>
      </w:pPr>
      <w:r>
        <w:rPr>
          <w:b/>
          <w:bCs/>
          <w:sz w:val="20"/>
          <w:szCs w:val="18"/>
        </w:rPr>
        <w:t>where max() indicates the largest value of all arguments and floor(x) is the greatest integer less than or equal to x.</w:t>
      </w:r>
    </w:p>
    <w:p>
      <w:pPr>
        <w:pStyle w:val="50"/>
        <w:jc w:val="center"/>
        <w:rPr>
          <w:b/>
          <w:bCs/>
          <w:sz w:val="20"/>
          <w:szCs w:val="18"/>
        </w:rPr>
      </w:pPr>
      <w:r>
        <w:rPr>
          <w:b/>
          <w:bCs/>
          <w:sz w:val="20"/>
          <w:szCs w:val="18"/>
        </w:rPr>
        <w:t>RB</w:t>
      </w:r>
      <w:r>
        <w:rPr>
          <w:b/>
          <w:bCs/>
          <w:sz w:val="20"/>
          <w:szCs w:val="18"/>
          <w:vertAlign w:val="subscript"/>
        </w:rPr>
        <w:t>Start,High</w:t>
      </w:r>
      <w:r>
        <w:rPr>
          <w:b/>
          <w:bCs/>
          <w:sz w:val="20"/>
          <w:szCs w:val="18"/>
        </w:rPr>
        <w:t xml:space="preserve"> = N</w:t>
      </w:r>
      <w:r>
        <w:rPr>
          <w:b/>
          <w:bCs/>
          <w:sz w:val="20"/>
          <w:szCs w:val="18"/>
          <w:vertAlign w:val="subscript"/>
        </w:rPr>
        <w:t>RB</w:t>
      </w:r>
      <w:r>
        <w:rPr>
          <w:rFonts w:hint="eastAsia"/>
          <w:b/>
          <w:bCs/>
          <w:sz w:val="20"/>
          <w:szCs w:val="18"/>
          <w:vertAlign w:val="subscript"/>
          <w:lang w:val="en-US" w:eastAsia="zh-CN"/>
        </w:rPr>
        <w:t>,extended</w:t>
      </w:r>
      <w:r>
        <w:rPr>
          <w:b/>
          <w:bCs/>
          <w:sz w:val="20"/>
          <w:szCs w:val="18"/>
        </w:rPr>
        <w:t xml:space="preserve"> – RB</w:t>
      </w:r>
      <w:r>
        <w:rPr>
          <w:b/>
          <w:bCs/>
          <w:sz w:val="20"/>
          <w:szCs w:val="18"/>
          <w:vertAlign w:val="subscript"/>
        </w:rPr>
        <w:t>Start,Low</w:t>
      </w:r>
      <w:r>
        <w:rPr>
          <w:b/>
          <w:bCs/>
          <w:sz w:val="20"/>
          <w:szCs w:val="18"/>
        </w:rPr>
        <w:t xml:space="preserve"> – L</w:t>
      </w:r>
      <w:r>
        <w:rPr>
          <w:b/>
          <w:bCs/>
          <w:sz w:val="20"/>
          <w:szCs w:val="18"/>
          <w:vertAlign w:val="subscript"/>
        </w:rPr>
        <w:t>CRB</w:t>
      </w:r>
    </w:p>
    <w:p>
      <w:pPr>
        <w:rPr>
          <w:b/>
          <w:bCs/>
          <w:sz w:val="20"/>
          <w:szCs w:val="18"/>
        </w:rPr>
      </w:pPr>
      <w:r>
        <w:rPr>
          <w:b/>
          <w:bCs/>
          <w:sz w:val="20"/>
          <w:szCs w:val="18"/>
        </w:rPr>
        <w:t>The RB allocation is an Inner RB allocation if the following conditions are met</w:t>
      </w:r>
    </w:p>
    <w:p>
      <w:pPr>
        <w:pStyle w:val="50"/>
        <w:jc w:val="center"/>
        <w:rPr>
          <w:rFonts w:hint="eastAsia"/>
          <w:b/>
          <w:bCs/>
          <w:sz w:val="20"/>
          <w:szCs w:val="18"/>
          <w:lang w:val="en-US" w:eastAsia="zh-CN"/>
        </w:rPr>
      </w:pPr>
      <w:r>
        <w:rPr>
          <w:b/>
          <w:bCs/>
          <w:sz w:val="20"/>
          <w:szCs w:val="18"/>
        </w:rPr>
        <w:t>RB</w:t>
      </w:r>
      <w:r>
        <w:rPr>
          <w:b/>
          <w:bCs/>
          <w:sz w:val="20"/>
          <w:szCs w:val="18"/>
          <w:vertAlign w:val="subscript"/>
        </w:rPr>
        <w:t xml:space="preserve">Start,Low  </w:t>
      </w:r>
      <w:r>
        <w:rPr>
          <w:b/>
          <w:bCs/>
          <w:sz w:val="20"/>
          <w:szCs w:val="18"/>
        </w:rPr>
        <w:t>≤  RB</w:t>
      </w:r>
      <w:r>
        <w:rPr>
          <w:b/>
          <w:bCs/>
          <w:sz w:val="20"/>
          <w:szCs w:val="18"/>
          <w:vertAlign w:val="subscript"/>
        </w:rPr>
        <w:t>Start</w:t>
      </w:r>
      <w:r>
        <w:rPr>
          <w:rFonts w:hint="eastAsia"/>
          <w:b/>
          <w:bCs/>
          <w:sz w:val="20"/>
          <w:szCs w:val="18"/>
          <w:vertAlign w:val="subscript"/>
          <w:lang w:val="en-US" w:eastAsia="zh-CN"/>
        </w:rPr>
        <w:t xml:space="preserve"> </w:t>
      </w:r>
      <w:r>
        <w:rPr>
          <w:b/>
          <w:bCs/>
          <w:sz w:val="20"/>
          <w:szCs w:val="18"/>
          <w:vertAlign w:val="subscript"/>
        </w:rPr>
        <w:t xml:space="preserve"> </w:t>
      </w:r>
      <w:r>
        <w:rPr>
          <w:b/>
          <w:bCs/>
          <w:sz w:val="20"/>
          <w:szCs w:val="18"/>
        </w:rPr>
        <w:t>≤  RB</w:t>
      </w:r>
      <w:r>
        <w:rPr>
          <w:b/>
          <w:bCs/>
          <w:sz w:val="20"/>
          <w:szCs w:val="18"/>
          <w:vertAlign w:val="subscript"/>
        </w:rPr>
        <w:t>Start,High</w:t>
      </w:r>
      <w:r>
        <w:rPr>
          <w:b/>
          <w:bCs/>
          <w:sz w:val="20"/>
          <w:szCs w:val="18"/>
        </w:rPr>
        <w:t>,</w:t>
      </w:r>
      <w:r>
        <w:rPr>
          <w:b/>
          <w:bCs/>
          <w:sz w:val="20"/>
          <w:szCs w:val="18"/>
          <w:vertAlign w:val="subscript"/>
        </w:rPr>
        <w:t xml:space="preserve"> </w:t>
      </w:r>
      <w:r>
        <w:rPr>
          <w:b/>
          <w:bCs/>
          <w:sz w:val="20"/>
          <w:szCs w:val="18"/>
        </w:rPr>
        <w:t>and</w:t>
      </w:r>
      <w:r>
        <w:rPr>
          <w:rFonts w:hint="eastAsia"/>
          <w:b/>
          <w:bCs/>
          <w:sz w:val="20"/>
          <w:szCs w:val="18"/>
          <w:lang w:val="en-US" w:eastAsia="zh-CN"/>
        </w:rPr>
        <w:t xml:space="preserve"> </w:t>
      </w:r>
    </w:p>
    <w:p>
      <w:pPr>
        <w:jc w:val="center"/>
        <w:rPr>
          <w:rFonts w:hint="eastAsia"/>
          <w:b/>
          <w:bCs/>
          <w:sz w:val="20"/>
          <w:szCs w:val="18"/>
          <w:vertAlign w:val="subscript"/>
          <w:lang w:val="en-US" w:eastAsia="zh-CN"/>
        </w:rPr>
      </w:pPr>
      <w:r>
        <w:rPr>
          <w:b/>
          <w:bCs/>
          <w:sz w:val="20"/>
          <w:szCs w:val="18"/>
        </w:rPr>
        <w:t>RB</w:t>
      </w:r>
      <w:r>
        <w:rPr>
          <w:rFonts w:hint="eastAsia"/>
          <w:b/>
          <w:bCs/>
          <w:sz w:val="20"/>
          <w:szCs w:val="18"/>
          <w:vertAlign w:val="subscript"/>
          <w:lang w:val="en-US" w:eastAsia="zh-CN"/>
        </w:rPr>
        <w:t>shift</w:t>
      </w:r>
      <w:r>
        <w:rPr>
          <w:b/>
          <w:bCs/>
          <w:sz w:val="20"/>
          <w:szCs w:val="18"/>
          <w:vertAlign w:val="subscript"/>
        </w:rPr>
        <w:t xml:space="preserve">  </w:t>
      </w:r>
      <w:r>
        <w:rPr>
          <w:b/>
          <w:bCs/>
          <w:sz w:val="20"/>
          <w:szCs w:val="18"/>
        </w:rPr>
        <w:t>≤  RB</w:t>
      </w:r>
      <w:r>
        <w:rPr>
          <w:b/>
          <w:bCs/>
          <w:sz w:val="20"/>
          <w:szCs w:val="18"/>
          <w:vertAlign w:val="subscript"/>
        </w:rPr>
        <w:t>Start</w:t>
      </w:r>
      <w:r>
        <w:rPr>
          <w:rFonts w:hint="eastAsia"/>
          <w:b/>
          <w:bCs/>
          <w:sz w:val="20"/>
          <w:szCs w:val="18"/>
          <w:vertAlign w:val="subscript"/>
          <w:lang w:val="en-US" w:eastAsia="zh-CN"/>
        </w:rPr>
        <w:t xml:space="preserve"> </w:t>
      </w:r>
      <w:r>
        <w:rPr>
          <w:b/>
          <w:bCs/>
          <w:sz w:val="20"/>
          <w:szCs w:val="18"/>
          <w:vertAlign w:val="subscript"/>
        </w:rPr>
        <w:t xml:space="preserve"> </w:t>
      </w:r>
      <w:r>
        <w:rPr>
          <w:b/>
          <w:bCs/>
          <w:sz w:val="20"/>
          <w:szCs w:val="18"/>
        </w:rPr>
        <w:t xml:space="preserve">≤  </w:t>
      </w:r>
      <w:r>
        <w:rPr>
          <w:rFonts w:hint="eastAsia"/>
          <w:b/>
          <w:bCs/>
          <w:sz w:val="20"/>
          <w:szCs w:val="18"/>
          <w:lang w:val="en-US" w:eastAsia="zh-CN"/>
        </w:rPr>
        <w:t>N</w:t>
      </w:r>
      <w:r>
        <w:rPr>
          <w:rFonts w:hint="eastAsia"/>
          <w:b/>
          <w:bCs/>
          <w:sz w:val="20"/>
          <w:szCs w:val="18"/>
          <w:vertAlign w:val="subscript"/>
          <w:lang w:val="en-US" w:eastAsia="zh-CN"/>
        </w:rPr>
        <w:t xml:space="preserve">RB </w:t>
      </w:r>
      <w:r>
        <w:rPr>
          <w:rFonts w:hint="eastAsia"/>
          <w:b/>
          <w:bCs/>
          <w:sz w:val="20"/>
          <w:szCs w:val="18"/>
          <w:lang w:val="en-US" w:eastAsia="zh-CN"/>
        </w:rPr>
        <w:t xml:space="preserve">+ </w:t>
      </w:r>
      <w:r>
        <w:rPr>
          <w:b/>
          <w:bCs/>
          <w:sz w:val="20"/>
          <w:szCs w:val="18"/>
        </w:rPr>
        <w:t>RB</w:t>
      </w:r>
      <w:r>
        <w:rPr>
          <w:rFonts w:hint="eastAsia"/>
          <w:b/>
          <w:bCs/>
          <w:sz w:val="20"/>
          <w:szCs w:val="18"/>
          <w:vertAlign w:val="subscript"/>
          <w:lang w:val="en-US" w:eastAsia="zh-CN"/>
        </w:rPr>
        <w:t>shift</w:t>
      </w:r>
      <w:r>
        <w:rPr>
          <w:b/>
          <w:bCs/>
          <w:sz w:val="20"/>
          <w:szCs w:val="18"/>
        </w:rPr>
        <w:t>,</w:t>
      </w:r>
      <w:r>
        <w:rPr>
          <w:b/>
          <w:bCs/>
          <w:sz w:val="20"/>
          <w:szCs w:val="18"/>
          <w:vertAlign w:val="subscript"/>
        </w:rPr>
        <w:t xml:space="preserve"> </w:t>
      </w:r>
      <w:r>
        <w:rPr>
          <w:b/>
          <w:bCs/>
          <w:sz w:val="20"/>
          <w:szCs w:val="18"/>
        </w:rPr>
        <w:t>and</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eastAsia"/>
          <w:b/>
          <w:bCs/>
          <w:sz w:val="20"/>
          <w:szCs w:val="18"/>
          <w:vertAlign w:val="subscript"/>
          <w:lang w:val="en-US" w:eastAsia="zh-CN"/>
        </w:rPr>
      </w:pPr>
      <w:r>
        <w:rPr>
          <w:b/>
          <w:bCs/>
          <w:sz w:val="20"/>
          <w:szCs w:val="18"/>
        </w:rPr>
        <w:t>RB</w:t>
      </w:r>
      <w:r>
        <w:rPr>
          <w:b/>
          <w:bCs/>
          <w:sz w:val="20"/>
          <w:szCs w:val="18"/>
          <w:vertAlign w:val="subscript"/>
        </w:rPr>
        <w:t>Start</w:t>
      </w:r>
      <w:r>
        <w:rPr>
          <w:b/>
          <w:bCs/>
          <w:sz w:val="20"/>
          <w:szCs w:val="18"/>
          <w:vertAlign w:val="baseline"/>
        </w:rPr>
        <w:t xml:space="preserve"> </w:t>
      </w:r>
      <w:r>
        <w:rPr>
          <w:b/>
          <w:bCs/>
          <w:sz w:val="20"/>
          <w:szCs w:val="18"/>
        </w:rPr>
        <w:t xml:space="preserve">≤ </w:t>
      </w:r>
      <w:r>
        <w:rPr>
          <w:rFonts w:hint="eastAsia"/>
          <w:b/>
          <w:bCs/>
          <w:sz w:val="20"/>
          <w:szCs w:val="18"/>
          <w:lang w:val="en-US" w:eastAsia="zh-CN"/>
        </w:rPr>
        <w:t>N</w:t>
      </w:r>
      <w:r>
        <w:rPr>
          <w:rFonts w:hint="eastAsia"/>
          <w:b/>
          <w:bCs/>
          <w:sz w:val="20"/>
          <w:szCs w:val="18"/>
          <w:vertAlign w:val="subscript"/>
          <w:lang w:val="en-US" w:eastAsia="zh-CN"/>
        </w:rPr>
        <w:t>RB</w:t>
      </w:r>
      <w:r>
        <w:rPr>
          <w:rFonts w:hint="eastAsia"/>
          <w:b/>
          <w:bCs/>
          <w:sz w:val="20"/>
          <w:szCs w:val="18"/>
          <w:vertAlign w:val="baseline"/>
          <w:lang w:val="en-US" w:eastAsia="zh-CN"/>
        </w:rPr>
        <w:t xml:space="preserve"> +</w:t>
      </w:r>
      <w:r>
        <w:rPr>
          <w:b/>
          <w:bCs/>
          <w:sz w:val="20"/>
          <w:szCs w:val="18"/>
          <w:vertAlign w:val="baseline"/>
        </w:rPr>
        <w:t xml:space="preserve"> </w:t>
      </w:r>
      <w:r>
        <w:rPr>
          <w:b/>
          <w:bCs/>
          <w:sz w:val="20"/>
          <w:szCs w:val="18"/>
        </w:rPr>
        <w:t>RB</w:t>
      </w:r>
      <w:r>
        <w:rPr>
          <w:rFonts w:hint="eastAsia"/>
          <w:b/>
          <w:bCs/>
          <w:sz w:val="20"/>
          <w:szCs w:val="18"/>
          <w:vertAlign w:val="subscript"/>
          <w:lang w:val="en-US" w:eastAsia="zh-CN"/>
        </w:rPr>
        <w:t xml:space="preserve">shift </w:t>
      </w:r>
      <w:r>
        <w:rPr>
          <w:rFonts w:hint="default" w:ascii="Times New Roman" w:hAnsi="Times New Roman" w:cs="Times New Roman"/>
          <w:b/>
          <w:bCs/>
          <w:sz w:val="20"/>
          <w:szCs w:val="18"/>
          <w:vertAlign w:val="baseline"/>
          <w:lang w:val="en-US" w:eastAsia="zh-CN"/>
        </w:rPr>
        <w:t>−</w:t>
      </w:r>
      <w:r>
        <w:rPr>
          <w:rFonts w:hint="eastAsia" w:cs="Times New Roman"/>
          <w:b/>
          <w:bCs/>
          <w:sz w:val="20"/>
          <w:szCs w:val="18"/>
          <w:vertAlign w:val="baseline"/>
          <w:lang w:val="en-US" w:eastAsia="zh-CN"/>
        </w:rPr>
        <w:t xml:space="preserve"> </w:t>
      </w:r>
      <w:r>
        <w:rPr>
          <w:rFonts w:hint="eastAsia"/>
          <w:b/>
          <w:bCs/>
          <w:sz w:val="20"/>
          <w:szCs w:val="18"/>
          <w:vertAlign w:val="baseline"/>
          <w:lang w:val="en-US" w:eastAsia="zh-CN"/>
        </w:rPr>
        <w:t>L</w:t>
      </w:r>
      <w:r>
        <w:rPr>
          <w:rFonts w:hint="eastAsia"/>
          <w:b/>
          <w:bCs/>
          <w:sz w:val="20"/>
          <w:szCs w:val="18"/>
          <w:vertAlign w:val="subscript"/>
          <w:lang w:val="en-US" w:eastAsia="zh-CN"/>
        </w:rPr>
        <w:t>CRB</w:t>
      </w:r>
      <w:r>
        <w:rPr>
          <w:b/>
          <w:bCs/>
          <w:sz w:val="20"/>
          <w:szCs w:val="18"/>
        </w:rPr>
        <w:t>,</w:t>
      </w:r>
      <w:r>
        <w:rPr>
          <w:b/>
          <w:bCs/>
          <w:sz w:val="20"/>
          <w:szCs w:val="18"/>
          <w:vertAlign w:val="subscript"/>
        </w:rPr>
        <w:t xml:space="preserve"> </w:t>
      </w:r>
      <w:r>
        <w:rPr>
          <w:b/>
          <w:bCs/>
          <w:sz w:val="20"/>
          <w:szCs w:val="18"/>
        </w:rPr>
        <w:t>and</w:t>
      </w:r>
      <w:r>
        <w:rPr>
          <w:rFonts w:hint="eastAsia"/>
          <w:b/>
          <w:bCs/>
          <w:sz w:val="20"/>
          <w:szCs w:val="18"/>
          <w:vertAlign w:val="subscript"/>
          <w:lang w:val="en-US" w:eastAsia="zh-CN"/>
        </w:rPr>
        <w:t xml:space="preserve"> </w:t>
      </w:r>
    </w:p>
    <w:p>
      <w:pPr>
        <w:pStyle w:val="50"/>
        <w:jc w:val="center"/>
        <w:rPr>
          <w:b/>
          <w:bCs/>
          <w:sz w:val="20"/>
          <w:szCs w:val="18"/>
        </w:rPr>
      </w:pPr>
      <w:r>
        <w:rPr>
          <w:b/>
          <w:bCs/>
          <w:sz w:val="20"/>
          <w:szCs w:val="18"/>
        </w:rPr>
        <w:t>L</w:t>
      </w:r>
      <w:r>
        <w:rPr>
          <w:b/>
          <w:bCs/>
          <w:sz w:val="20"/>
          <w:szCs w:val="18"/>
          <w:vertAlign w:val="subscript"/>
        </w:rPr>
        <w:t xml:space="preserve">CRB  </w:t>
      </w:r>
      <w:r>
        <w:rPr>
          <w:b/>
          <w:bCs/>
          <w:sz w:val="20"/>
          <w:szCs w:val="18"/>
        </w:rPr>
        <w:t>≤  ceil(N</w:t>
      </w:r>
      <w:r>
        <w:rPr>
          <w:b/>
          <w:bCs/>
          <w:sz w:val="20"/>
          <w:szCs w:val="18"/>
          <w:vertAlign w:val="subscript"/>
        </w:rPr>
        <w:t>RB</w:t>
      </w:r>
      <w:r>
        <w:rPr>
          <w:rFonts w:hint="eastAsia"/>
          <w:b/>
          <w:bCs/>
          <w:sz w:val="20"/>
          <w:szCs w:val="18"/>
          <w:vertAlign w:val="subscript"/>
          <w:lang w:val="en-US" w:eastAsia="zh-CN"/>
        </w:rPr>
        <w:t>,extended</w:t>
      </w:r>
      <w:r>
        <w:rPr>
          <w:b/>
          <w:bCs/>
          <w:sz w:val="20"/>
          <w:szCs w:val="18"/>
        </w:rPr>
        <w:t>/2)</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default"/>
          <w:sz w:val="20"/>
          <w:szCs w:val="18"/>
          <w:vertAlign w:val="baseline"/>
          <w:lang w:val="en-US" w:eastAsia="zh-CN"/>
        </w:rPr>
      </w:pPr>
      <w:r>
        <w:rPr>
          <w:b/>
          <w:bCs/>
          <w:sz w:val="20"/>
          <w:szCs w:val="18"/>
        </w:rPr>
        <w:t>where RB</w:t>
      </w:r>
      <w:r>
        <w:rPr>
          <w:rFonts w:hint="eastAsia"/>
          <w:b/>
          <w:bCs/>
          <w:sz w:val="20"/>
          <w:szCs w:val="18"/>
          <w:vertAlign w:val="subscript"/>
          <w:lang w:val="en-US" w:eastAsia="zh-CN"/>
        </w:rPr>
        <w:t>shift</w:t>
      </w:r>
      <w:r>
        <w:rPr>
          <w:rFonts w:hint="eastAsia"/>
          <w:b/>
          <w:bCs/>
          <w:sz w:val="20"/>
          <w:szCs w:val="18"/>
          <w:lang w:val="en-US" w:eastAsia="zh-CN"/>
        </w:rPr>
        <w:t xml:space="preserve"> is the RB offset between the first RB of UE CBW and the first RB of the extended UE CBW and </w:t>
      </w:r>
      <w:r>
        <w:rPr>
          <w:b/>
          <w:bCs/>
          <w:sz w:val="20"/>
          <w:szCs w:val="18"/>
        </w:rPr>
        <w:t>ceil(x) is the smallest integer greater than or equal to x</w:t>
      </w:r>
      <w:r>
        <w:rPr>
          <w:rFonts w:hint="eastAsia"/>
          <w:b/>
          <w:bCs/>
          <w:sz w:val="20"/>
          <w:szCs w:val="18"/>
          <w:lang w:val="en-US" w:eastAsia="zh-CN"/>
        </w:rPr>
        <w:t>.</w:t>
      </w:r>
    </w:p>
    <w:p>
      <w:pPr>
        <w:keepNext/>
        <w:keepLines w:val="0"/>
        <w:pageBreakBefore w:val="0"/>
        <w:widowControl w:val="0"/>
        <w:kinsoku/>
        <w:wordWrap/>
        <w:overflowPunct/>
        <w:topLinePunct w:val="0"/>
        <w:autoSpaceDE/>
        <w:autoSpaceDN/>
        <w:bidi w:val="0"/>
        <w:adjustRightInd/>
        <w:snapToGrid/>
        <w:textAlignment w:val="auto"/>
        <w:rPr>
          <w:rFonts w:hint="eastAsia"/>
          <w:sz w:val="20"/>
          <w:szCs w:val="20"/>
          <w:lang w:val="en-US" w:eastAsia="zh-CN"/>
        </w:rPr>
      </w:pPr>
    </w:p>
    <w:p>
      <w:pPr>
        <w:pStyle w:val="3"/>
        <w:keepNext/>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eastAsia"/>
          <w:b/>
          <w:kern w:val="0"/>
          <w:sz w:val="28"/>
          <w:szCs w:val="28"/>
          <w:highlight w:val="none"/>
          <w:lang w:val="en-US" w:eastAsia="zh-CN"/>
        </w:rPr>
      </w:pPr>
      <w:r>
        <w:rPr>
          <w:rFonts w:hint="eastAsia"/>
          <w:b/>
          <w:kern w:val="0"/>
          <w:sz w:val="28"/>
          <w:szCs w:val="28"/>
          <w:highlight w:val="none"/>
          <w:lang w:val="en-US" w:eastAsia="zh-CN"/>
        </w:rPr>
        <w:t>2.2 Applicable requirements</w:t>
      </w:r>
    </w:p>
    <w:p>
      <w:pPr>
        <w:rPr>
          <w:rFonts w:hint="default"/>
          <w:sz w:val="18"/>
          <w:szCs w:val="16"/>
          <w:lang w:val="en-US" w:eastAsia="zh-CN"/>
        </w:rPr>
      </w:pPr>
      <w:r>
        <w:rPr>
          <w:rFonts w:hint="eastAsia"/>
          <w:b/>
          <w:kern w:val="0"/>
          <w:sz w:val="22"/>
          <w:szCs w:val="22"/>
          <w:highlight w:val="none"/>
          <w:lang w:val="en-US" w:eastAsia="zh-CN"/>
        </w:rPr>
        <w:t>In-band emissions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color w:val="000000" w:themeColor="text1"/>
                <w:sz w:val="20"/>
                <w:szCs w:val="20"/>
                <w:u w:val="single"/>
                <w:lang w:val="en-US" w:eastAsia="ko-KR"/>
                <w14:textFill>
                  <w14:solidFill>
                    <w14:schemeClr w14:val="tx1"/>
                  </w14:solidFill>
                </w14:textFill>
              </w:rPr>
            </w:pPr>
            <w:r>
              <w:rPr>
                <w:rFonts w:ascii="Times New Roman" w:hAnsi="Times New Roman"/>
                <w:b/>
                <w:color w:val="000000" w:themeColor="text1"/>
                <w:sz w:val="20"/>
                <w:szCs w:val="20"/>
                <w:u w:val="single"/>
                <w:lang w:val="en-US" w:eastAsia="ko-KR"/>
                <w14:textFill>
                  <w14:solidFill>
                    <w14:schemeClr w14:val="tx1"/>
                  </w14:solidFill>
                </w14:textFill>
              </w:rPr>
              <w:t>Issue 1-2-1: Where to use extended IBE in the larger BS CBW</w:t>
            </w:r>
          </w:p>
          <w:p>
            <w:pPr>
              <w:pStyle w:val="34"/>
              <w:numPr>
                <w:ilvl w:val="0"/>
                <w:numId w:val="10"/>
              </w:numPr>
              <w:overflowPunct/>
              <w:autoSpaceDE/>
              <w:autoSpaceDN/>
              <w:adjustRightInd/>
              <w:spacing w:before="120" w:beforeLines="50" w:after="0"/>
              <w:ind w:left="714" w:hanging="357" w:firstLineChars="0"/>
              <w:textAlignment w:val="auto"/>
              <w:rPr>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Proposals </w:t>
            </w:r>
          </w:p>
          <w:p>
            <w:pPr>
              <w:pStyle w:val="34"/>
              <w:numPr>
                <w:ilvl w:val="1"/>
                <w:numId w:val="10"/>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Proposal 1: IBE should be used between edges of UE CBW and extended UE CBW. (vivo, ZTE, Huawei, Qualcomm, China Telecom, Skyworks)</w:t>
            </w:r>
          </w:p>
          <w:p>
            <w:pPr>
              <w:pStyle w:val="34"/>
              <w:numPr>
                <w:ilvl w:val="2"/>
                <w:numId w:val="10"/>
              </w:numPr>
              <w:overflowPunct/>
              <w:autoSpaceDE/>
              <w:autoSpaceDN/>
              <w:adjustRightIn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Alt 1: extension of the IBE is NOT used in the guard band of UE CBW. </w:t>
            </w:r>
          </w:p>
          <w:p>
            <w:pPr>
              <w:pStyle w:val="34"/>
              <w:numPr>
                <w:ilvl w:val="2"/>
                <w:numId w:val="10"/>
              </w:numPr>
              <w:overflowPunct/>
              <w:autoSpaceDE/>
              <w:autoSpaceDN/>
              <w:adjustRightIn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Alt 2: extension of the IBE is also used in the guard band of UE CBW. </w:t>
            </w:r>
          </w:p>
          <w:p>
            <w:pPr>
              <w:pStyle w:val="34"/>
              <w:numPr>
                <w:ilvl w:val="2"/>
                <w:numId w:val="10"/>
              </w:numPr>
              <w:overflowPunct/>
              <w:autoSpaceDE/>
              <w:autoSpaceDN/>
              <w:adjustRightIn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hint="eastAsia" w:eastAsia="宋体"/>
                <w:color w:val="000000" w:themeColor="text1"/>
                <w:sz w:val="20"/>
                <w:szCs w:val="20"/>
                <w:lang w:eastAsia="zh-CN"/>
                <w14:textFill>
                  <w14:solidFill>
                    <w14:schemeClr w14:val="tx1"/>
                  </w14:solidFill>
                </w14:textFill>
              </w:rPr>
              <w:t>A</w:t>
            </w:r>
            <w:r>
              <w:rPr>
                <w:rFonts w:eastAsia="宋体"/>
                <w:color w:val="000000" w:themeColor="text1"/>
                <w:sz w:val="20"/>
                <w:szCs w:val="20"/>
                <w:lang w:eastAsia="zh-CN"/>
                <w14:textFill>
                  <w14:solidFill>
                    <w14:schemeClr w14:val="tx1"/>
                  </w14:solidFill>
                </w14:textFill>
              </w:rPr>
              <w:t>lt 3: extension of the IBE applies in the guard band of the UE CBW but not in the guard band of the extended UE CBW</w:t>
            </w:r>
          </w:p>
          <w:p>
            <w:pPr>
              <w:pStyle w:val="34"/>
              <w:numPr>
                <w:ilvl w:val="0"/>
                <w:numId w:val="10"/>
              </w:numPr>
              <w:overflowPunct/>
              <w:autoSpaceDE/>
              <w:autoSpaceDN/>
              <w:adjustRightInd/>
              <w:spacing w:after="120"/>
              <w:ind w:left="72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WF</w:t>
            </w:r>
          </w:p>
          <w:p>
            <w:pPr>
              <w:pStyle w:val="34"/>
              <w:numPr>
                <w:ilvl w:val="1"/>
                <w:numId w:val="10"/>
              </w:numPr>
              <w:overflowPunct/>
              <w:autoSpaceDE/>
              <w:autoSpaceDN/>
              <w:adjustRightInd/>
              <w:spacing w:after="120"/>
              <w:ind w:left="144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 IBE should be used between edges of UE CBW and extended UE CBW</w:t>
            </w:r>
          </w:p>
          <w:p>
            <w:pPr>
              <w:pStyle w:val="34"/>
              <w:numPr>
                <w:ilvl w:val="2"/>
                <w:numId w:val="10"/>
              </w:numPr>
              <w:overflowPunct/>
              <w:autoSpaceDE/>
              <w:autoSpaceDN/>
              <w:adjustRightInd/>
              <w:spacing w:after="120"/>
              <w:ind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FFS the application of IBE in guard band of UE CBW and/or extended UE CBW</w:t>
            </w:r>
          </w:p>
          <w:p>
            <w:pPr>
              <w:pStyle w:val="34"/>
              <w:numPr>
                <w:ilvl w:val="0"/>
                <w:numId w:val="0"/>
              </w:numPr>
              <w:overflowPunct/>
              <w:autoSpaceDE/>
              <w:autoSpaceDN/>
              <w:adjustRightInd/>
              <w:spacing w:after="120"/>
              <w:textAlignment w:val="auto"/>
              <w:rPr>
                <w:rFonts w:hint="eastAsia" w:cs="Times New Roman"/>
                <w:sz w:val="20"/>
                <w:szCs w:val="20"/>
                <w:vertAlign w:val="baseline"/>
                <w:lang w:val="en-US" w:eastAsia="zh-CN"/>
              </w:rPr>
            </w:pPr>
          </w:p>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color w:val="000000" w:themeColor="text1"/>
                <w:sz w:val="20"/>
                <w:szCs w:val="20"/>
                <w:u w:val="single"/>
                <w:lang w:val="en-US" w:eastAsia="ko-KR"/>
                <w14:textFill>
                  <w14:solidFill>
                    <w14:schemeClr w14:val="tx1"/>
                  </w14:solidFill>
                </w14:textFill>
              </w:rPr>
            </w:pPr>
            <w:r>
              <w:rPr>
                <w:rFonts w:ascii="Times New Roman" w:hAnsi="Times New Roman"/>
                <w:b/>
                <w:color w:val="000000" w:themeColor="text1"/>
                <w:sz w:val="20"/>
                <w:szCs w:val="20"/>
                <w:u w:val="single"/>
                <w:lang w:val="en-US" w:eastAsia="ko-KR"/>
                <w14:textFill>
                  <w14:solidFill>
                    <w14:schemeClr w14:val="tx1"/>
                  </w14:solidFill>
                </w14:textFill>
              </w:rPr>
              <w:t xml:space="preserve">Issue 1-2-2: How to </w:t>
            </w:r>
            <w:bookmarkStart w:id="12" w:name="_Hlk183068560"/>
            <w:r>
              <w:rPr>
                <w:rFonts w:ascii="Times New Roman" w:hAnsi="Times New Roman"/>
                <w:b/>
                <w:color w:val="000000" w:themeColor="text1"/>
                <w:sz w:val="20"/>
                <w:szCs w:val="20"/>
                <w:u w:val="single"/>
                <w:lang w:val="en-US" w:eastAsia="ko-KR"/>
                <w14:textFill>
                  <w14:solidFill>
                    <w14:schemeClr w14:val="tx1"/>
                  </w14:solidFill>
                </w14:textFill>
              </w:rPr>
              <w:t>derive the extended IBE</w:t>
            </w:r>
            <w:bookmarkEnd w:id="12"/>
            <w:r>
              <w:rPr>
                <w:rFonts w:ascii="Times New Roman" w:hAnsi="Times New Roman"/>
                <w:b/>
                <w:color w:val="000000" w:themeColor="text1"/>
                <w:sz w:val="20"/>
                <w:szCs w:val="20"/>
                <w:u w:val="single"/>
                <w:lang w:val="en-US" w:eastAsia="ko-KR"/>
                <w14:textFill>
                  <w14:solidFill>
                    <w14:schemeClr w14:val="tx1"/>
                  </w14:solidFill>
                </w14:textFill>
              </w:rPr>
              <w:t xml:space="preserve">  </w:t>
            </w:r>
          </w:p>
          <w:p>
            <w:pPr>
              <w:pStyle w:val="34"/>
              <w:numPr>
                <w:ilvl w:val="0"/>
                <w:numId w:val="10"/>
              </w:numPr>
              <w:overflowPunct/>
              <w:autoSpaceDE/>
              <w:autoSpaceDN/>
              <w:adjustRightInd/>
              <w:spacing w:before="120" w:beforeLines="50" w:after="0"/>
              <w:ind w:left="714" w:hanging="357" w:firstLineChars="0"/>
              <w:textAlignment w:val="auto"/>
              <w:rPr>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Proposals </w:t>
            </w:r>
          </w:p>
          <w:p>
            <w:pPr>
              <w:pStyle w:val="34"/>
              <w:numPr>
                <w:ilvl w:val="1"/>
                <w:numId w:val="10"/>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Proposal 1: (vivo)</w:t>
            </w:r>
          </w:p>
          <w:p>
            <w:pPr>
              <w:pStyle w:val="34"/>
              <w:numPr>
                <w:ilvl w:val="2"/>
                <w:numId w:val="10"/>
              </w:numPr>
              <w:overflowPunct w:val="0"/>
              <w:autoSpaceDE w:val="0"/>
              <w:autoSpaceDN w:val="0"/>
              <w:adjustRightInd w:val="0"/>
              <w:spacing w:after="120"/>
              <w:ind w:firstLineChars="0"/>
              <w:jc w:val="both"/>
              <w:textAlignment w:val="baseline"/>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For IBE of both original CBW and extended CBW, NRB should be based on the original UE CBW, ΔRB should also be limited within the original UE CBW. (vivo, ZTE, Huawei)</w:t>
            </w:r>
          </w:p>
          <w:p>
            <w:pPr>
              <w:pStyle w:val="34"/>
              <w:numPr>
                <w:ilvl w:val="2"/>
                <w:numId w:val="10"/>
              </w:numPr>
              <w:overflowPunct/>
              <w:autoSpaceDE/>
              <w:autoSpaceDN/>
              <w:adjustRightIn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The IBE requirement of the extension portion should be equal to that of the last non-allocated RB in the original UE CBW. (vivo, ZTE, Huawei)</w:t>
            </w:r>
          </w:p>
          <w:p>
            <w:pPr>
              <w:pStyle w:val="34"/>
              <w:overflowPunct/>
              <w:autoSpaceDE/>
              <w:autoSpaceDN/>
              <w:adjustRightInd/>
              <w:spacing w:after="120"/>
              <w:ind w:left="2376" w:firstLine="0" w:firstLineChars="0"/>
              <w:jc w:val="both"/>
              <w:textAlignment w:val="auto"/>
              <w:rPr>
                <w:rFonts w:eastAsia="宋体"/>
                <w:color w:val="000000" w:themeColor="text1"/>
                <w:sz w:val="20"/>
                <w:szCs w:val="20"/>
                <w:lang w:eastAsia="zh-CN"/>
                <w14:textFill>
                  <w14:solidFill>
                    <w14:schemeClr w14:val="tx1"/>
                  </w14:solidFill>
                </w14:textFill>
              </w:rPr>
            </w:pPr>
            <w:r>
              <w:rPr>
                <w:color w:val="000000" w:themeColor="text1"/>
                <w:sz w:val="20"/>
                <w:szCs w:val="20"/>
                <w14:textFill>
                  <w14:solidFill>
                    <w14:schemeClr w14:val="tx1"/>
                  </w14:solidFill>
                </w14:textFill>
              </w:rPr>
              <w:object>
                <v:shape id="_x0000_i1025" o:spt="75" type="#_x0000_t75" style="height:174.85pt;width:284.55pt;" o:ole="t" filled="f" o:preferrelative="t" stroked="f" coordsize="21600,21600">
                  <v:path/>
                  <v:fill on="f" focussize="0,0"/>
                  <v:stroke on="f" joinstyle="miter"/>
                  <v:imagedata r:id="rId19" o:title=""/>
                  <o:lock v:ext="edit" aspectratio="t"/>
                  <w10:wrap type="none"/>
                  <w10:anchorlock/>
                </v:shape>
                <o:OLEObject Type="Embed" ProgID="Visio.Drawing.15" ShapeID="_x0000_i1025" DrawAspect="Content" ObjectID="_1468075725" r:id="rId18">
                  <o:LockedField>false</o:LockedField>
                </o:OLEObject>
              </w:object>
            </w:r>
          </w:p>
          <w:p>
            <w:pPr>
              <w:pStyle w:val="34"/>
              <w:numPr>
                <w:ilvl w:val="2"/>
                <w:numId w:val="10"/>
              </w:numPr>
              <w:overflowPunct/>
              <w:autoSpaceDE/>
              <w:autoSpaceDN/>
              <w:adjustRightIn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14:textFill>
                  <w14:solidFill>
                    <w14:schemeClr w14:val="tx1"/>
                  </w14:solidFill>
                </w14:textFill>
              </w:rPr>
              <w:t>For UE CBW with full RB allocation, the IBE of the extended part could be simplified to:</w:t>
            </w:r>
          </w:p>
          <w:p>
            <w:pPr>
              <w:keepNext/>
              <w:keepLines/>
              <w:overflowPunct w:val="0"/>
              <w:autoSpaceDE w:val="0"/>
              <w:autoSpaceDN w:val="0"/>
              <w:adjustRightInd w:val="0"/>
              <w:spacing w:before="240" w:after="0"/>
              <w:ind w:left="578"/>
              <w:jc w:val="center"/>
              <w:textAlignment w:val="baseline"/>
              <w:rPr>
                <w:color w:val="000000" w:themeColor="text1"/>
                <w:sz w:val="20"/>
                <w:szCs w:val="20"/>
                <w14:textFill>
                  <w14:solidFill>
                    <w14:schemeClr w14:val="tx1"/>
                  </w14:solidFill>
                </w14:textFill>
              </w:rPr>
            </w:pPr>
            <m:oMathPara>
              <m:oMathParaPr>
                <m:jc m:val="center"/>
              </m:oMathParaPr>
              <m:oMath>
                <m:r>
                  <m:rPr>
                    <m:sty m:val="p"/>
                  </m:rPr>
                  <w:rPr>
                    <w:rFonts w:ascii="Cambria Math" w:hAnsi="Cambria Math"/>
                    <w:color w:val="000000" w:themeColor="text1"/>
                    <w:sz w:val="20"/>
                    <w:szCs w:val="20"/>
                    <w14:textFill>
                      <w14:solidFill>
                        <w14:schemeClr w14:val="tx1"/>
                      </w14:solidFill>
                    </w14:textFill>
                  </w:rPr>
                  <m:t>IBE_general = max⁡(</m:t>
                </m:r>
                <m:bar>
                  <m:barPr>
                    <m:pos m:val="top"/>
                    <m:ctrlPr>
                      <w:rPr>
                        <w:rFonts w:ascii="Cambria Math" w:hAnsi="Cambria Math"/>
                        <w:i/>
                        <w:color w:val="000000" w:themeColor="text1"/>
                        <w:sz w:val="20"/>
                        <w:szCs w:val="20"/>
                        <w14:textFill>
                          <w14:solidFill>
                            <w14:schemeClr w14:val="tx1"/>
                          </w14:solidFill>
                        </w14:textFill>
                      </w:rPr>
                    </m:ctrlPr>
                  </m:barPr>
                  <m:e>
                    <m:sSub>
                      <m:sSubPr>
                        <m:ctrlPr>
                          <w:rPr>
                            <w:rFonts w:ascii="Cambria Math" w:hAnsi="Cambria Math"/>
                            <w:i/>
                            <w:color w:val="000000" w:themeColor="text1"/>
                            <w:sz w:val="20"/>
                            <w:szCs w:val="20"/>
                            <w14:textFill>
                              <w14:solidFill>
                                <w14:schemeClr w14:val="tx1"/>
                              </w14:solidFill>
                            </w14:textFill>
                          </w:rPr>
                        </m:ctrlPr>
                      </m:sSubPr>
                      <m:e>
                        <m:r>
                          <m:rPr/>
                          <w:rPr>
                            <w:rFonts w:ascii="Cambria Math" w:hAnsi="Cambria Math"/>
                            <w:color w:val="000000" w:themeColor="text1"/>
                            <w:sz w:val="20"/>
                            <w:szCs w:val="20"/>
                            <w14:textFill>
                              <w14:solidFill>
                                <w14:schemeClr w14:val="tx1"/>
                              </w14:solidFill>
                            </w14:textFill>
                          </w:rPr>
                          <m:t>P</m:t>
                        </m:r>
                        <m:ctrlPr>
                          <w:rPr>
                            <w:rFonts w:ascii="Cambria Math" w:hAnsi="Cambria Math"/>
                            <w:i/>
                            <w:color w:val="000000" w:themeColor="text1"/>
                            <w:sz w:val="20"/>
                            <w:szCs w:val="20"/>
                            <w14:textFill>
                              <w14:solidFill>
                                <w14:schemeClr w14:val="tx1"/>
                              </w14:solidFill>
                            </w14:textFill>
                          </w:rPr>
                        </m:ctrlPr>
                      </m:e>
                      <m:sub>
                        <m:r>
                          <m:rPr/>
                          <w:rPr>
                            <w:rFonts w:ascii="Cambria Math" w:hAnsi="Cambria Math"/>
                            <w:color w:val="000000" w:themeColor="text1"/>
                            <w:sz w:val="20"/>
                            <w:szCs w:val="20"/>
                            <w14:textFill>
                              <w14:solidFill>
                                <w14:schemeClr w14:val="tx1"/>
                              </w14:solidFill>
                            </w14:textFill>
                          </w:rPr>
                          <m:t>RB</m:t>
                        </m:r>
                        <m:ctrlPr>
                          <w:rPr>
                            <w:rFonts w:ascii="Cambria Math" w:hAnsi="Cambria Math"/>
                            <w:i/>
                            <w:color w:val="000000" w:themeColor="text1"/>
                            <w:sz w:val="20"/>
                            <w:szCs w:val="20"/>
                            <w14:textFill>
                              <w14:solidFill>
                                <w14:schemeClr w14:val="tx1"/>
                              </w14:solidFill>
                            </w14:textFill>
                          </w:rPr>
                        </m:ctrlPr>
                      </m:sub>
                    </m:sSub>
                    <m:ctrlPr>
                      <w:rPr>
                        <w:rFonts w:ascii="Cambria Math" w:hAnsi="Cambria Math"/>
                        <w:i/>
                        <w:color w:val="000000" w:themeColor="text1"/>
                        <w:sz w:val="20"/>
                        <w:szCs w:val="20"/>
                        <w14:textFill>
                          <w14:solidFill>
                            <w14:schemeClr w14:val="tx1"/>
                          </w14:solidFill>
                        </w14:textFill>
                      </w:rPr>
                    </m:ctrlPr>
                  </m:e>
                </m:bar>
                <m:r>
                  <m:rPr/>
                  <w:rPr>
                    <w:rFonts w:ascii="Cambria Math" w:hAnsi="Cambria Math"/>
                    <w:color w:val="000000" w:themeColor="text1"/>
                    <w:sz w:val="20"/>
                    <w:szCs w:val="20"/>
                    <w14:textFill>
                      <w14:solidFill>
                        <w14:schemeClr w14:val="tx1"/>
                      </w14:solidFill>
                    </w14:textFill>
                  </w:rPr>
                  <m:t xml:space="preserve"> </m:t>
                </m:r>
                <m:r>
                  <m:rPr>
                    <m:sty m:val="p"/>
                  </m:rPr>
                  <w:rPr>
                    <w:rFonts w:ascii="Cambria Math" w:hAnsi="Cambria Math"/>
                    <w:color w:val="000000" w:themeColor="text1"/>
                    <w:sz w:val="20"/>
                    <w:szCs w:val="20"/>
                    <w14:textFill>
                      <w14:solidFill>
                        <w14:schemeClr w14:val="tx1"/>
                      </w14:solidFill>
                    </w14:textFill>
                  </w:rPr>
                  <m:t xml:space="preserve">− 30 dB, </m:t>
                </m:r>
              </m:oMath>
            </m:oMathPara>
          </w:p>
          <w:p>
            <w:pPr>
              <w:keepNext/>
              <w:keepLines/>
              <w:overflowPunct w:val="0"/>
              <w:autoSpaceDE w:val="0"/>
              <w:autoSpaceDN w:val="0"/>
              <w:adjustRightInd w:val="0"/>
              <w:spacing w:after="0"/>
              <w:ind w:left="578"/>
              <w:jc w:val="center"/>
              <w:textAlignment w:val="baseline"/>
              <w:rPr>
                <w:color w:val="000000" w:themeColor="text1"/>
                <w:sz w:val="20"/>
                <w:szCs w:val="20"/>
                <w14:textFill>
                  <w14:solidFill>
                    <w14:schemeClr w14:val="tx1"/>
                  </w14:solidFill>
                </w14:textFill>
              </w:rPr>
            </w:pPr>
            <m:oMathPara>
              <m:oMathParaPr>
                <m:jc m:val="center"/>
              </m:oMathParaPr>
              <m:oMath>
                <m:r>
                  <m:rPr>
                    <m:sty m:val="p"/>
                  </m:rPr>
                  <w:rPr>
                    <w:rFonts w:ascii="Cambria Math" w:hAnsi="Cambria Math"/>
                    <w:color w:val="000000" w:themeColor="text1"/>
                    <w:sz w:val="20"/>
                    <w:szCs w:val="20"/>
                    <w14:textFill>
                      <w14:solidFill>
                        <w14:schemeClr w14:val="tx1"/>
                      </w14:solidFill>
                    </w14:textFill>
                  </w:rPr>
                  <m:t>max⁡{−25,  20∗</m:t>
                </m:r>
                <m:sSub>
                  <m:sSubPr>
                    <m:ctrlPr>
                      <w:rPr>
                        <w:rFonts w:ascii="Cambria Math" w:hAnsi="Cambria Math"/>
                        <w:color w:val="000000" w:themeColor="text1"/>
                        <w:kern w:val="2"/>
                        <w:sz w:val="20"/>
                        <w:szCs w:val="20"/>
                        <w:lang w:eastAsia="zh-CN"/>
                        <w14:textFill>
                          <w14:solidFill>
                            <w14:schemeClr w14:val="tx1"/>
                          </w14:solidFill>
                        </w14:textFill>
                      </w:rPr>
                    </m:ctrlPr>
                  </m:sSubPr>
                  <m:e>
                    <m:r>
                      <m:rPr/>
                      <w:rPr>
                        <w:rFonts w:ascii="Cambria Math" w:hAnsi="Cambria Math"/>
                        <w:color w:val="000000" w:themeColor="text1"/>
                        <w:sz w:val="20"/>
                        <w:szCs w:val="20"/>
                        <w14:textFill>
                          <w14:solidFill>
                            <w14:schemeClr w14:val="tx1"/>
                          </w14:solidFill>
                        </w14:textFill>
                      </w:rPr>
                      <m:t>log</m:t>
                    </m:r>
                    <m:ctrlPr>
                      <w:rPr>
                        <w:rFonts w:ascii="Cambria Math" w:hAnsi="Cambria Math"/>
                        <w:color w:val="000000" w:themeColor="text1"/>
                        <w:kern w:val="2"/>
                        <w:sz w:val="20"/>
                        <w:szCs w:val="20"/>
                        <w:lang w:eastAsia="zh-CN"/>
                        <w14:textFill>
                          <w14:solidFill>
                            <w14:schemeClr w14:val="tx1"/>
                          </w14:solidFill>
                        </w14:textFill>
                      </w:rPr>
                    </m:ctrlPr>
                  </m:e>
                  <m:sub>
                    <m:r>
                      <m:rPr/>
                      <w:rPr>
                        <w:rFonts w:ascii="Cambria Math" w:hAnsi="Cambria Math"/>
                        <w:color w:val="000000" w:themeColor="text1"/>
                        <w:sz w:val="20"/>
                        <w:szCs w:val="20"/>
                        <w14:textFill>
                          <w14:solidFill>
                            <w14:schemeClr w14:val="tx1"/>
                          </w14:solidFill>
                        </w14:textFill>
                      </w:rPr>
                      <m:t>10</m:t>
                    </m:r>
                    <m:ctrlPr>
                      <w:rPr>
                        <w:rFonts w:ascii="Cambria Math" w:hAnsi="Cambria Math"/>
                        <w:color w:val="000000" w:themeColor="text1"/>
                        <w:kern w:val="2"/>
                        <w:sz w:val="20"/>
                        <w:szCs w:val="20"/>
                        <w:lang w:eastAsia="zh-CN"/>
                        <w14:textFill>
                          <w14:solidFill>
                            <w14:schemeClr w14:val="tx1"/>
                          </w14:solidFill>
                        </w14:textFill>
                      </w:rPr>
                    </m:ctrlPr>
                  </m:sub>
                </m:sSub>
                <m:r>
                  <m:rPr/>
                  <w:rPr>
                    <w:rFonts w:ascii="Cambria Math" w:hAnsi="Cambria Math"/>
                    <w:color w:val="000000" w:themeColor="text1"/>
                    <w:sz w:val="20"/>
                    <w:szCs w:val="20"/>
                    <w14:textFill>
                      <w14:solidFill>
                        <w14:schemeClr w14:val="tx1"/>
                      </w14:solidFill>
                    </w14:textFill>
                  </w:rPr>
                  <m:t xml:space="preserve">EVM </m:t>
                </m:r>
                <m:r>
                  <m:rPr>
                    <m:sty m:val="p"/>
                  </m:rPr>
                  <w:rPr>
                    <w:rFonts w:ascii="Cambria Math" w:hAnsi="Cambria Math"/>
                    <w:color w:val="000000" w:themeColor="text1"/>
                    <w:sz w:val="20"/>
                    <w:szCs w:val="20"/>
                    <w14:textFill>
                      <w14:solidFill>
                        <w14:schemeClr w14:val="tx1"/>
                      </w14:solidFill>
                    </w14:textFill>
                  </w:rPr>
                  <m:t>−3 +</m:t>
                </m:r>
                <m:f>
                  <m:fPr>
                    <m:ctrlPr>
                      <w:rPr>
                        <w:rFonts w:ascii="Cambria Math" w:hAnsi="Cambria Math"/>
                        <w:i/>
                        <w:color w:val="000000" w:themeColor="text1"/>
                        <w:sz w:val="20"/>
                        <w:szCs w:val="20"/>
                        <w14:textFill>
                          <w14:solidFill>
                            <w14:schemeClr w14:val="tx1"/>
                          </w14:solidFill>
                        </w14:textFill>
                      </w:rPr>
                    </m:ctrlPr>
                  </m:fPr>
                  <m:num>
                    <m:r>
                      <m:rPr/>
                      <w:rPr>
                        <w:rFonts w:ascii="Cambria Math" w:hAnsi="Cambria Math"/>
                        <w:color w:val="000000" w:themeColor="text1"/>
                        <w:sz w:val="20"/>
                        <w:szCs w:val="20"/>
                        <w14:textFill>
                          <w14:solidFill>
                            <w14:schemeClr w14:val="tx1"/>
                          </w14:solidFill>
                        </w14:textFill>
                      </w:rPr>
                      <m:t>5</m:t>
                    </m:r>
                    <m:ctrlPr>
                      <w:rPr>
                        <w:rFonts w:ascii="Cambria Math" w:hAnsi="Cambria Math"/>
                        <w:color w:val="000000" w:themeColor="text1"/>
                        <w:sz w:val="20"/>
                        <w:szCs w:val="20"/>
                        <w14:textFill>
                          <w14:solidFill>
                            <w14:schemeClr w14:val="tx1"/>
                          </w14:solidFill>
                        </w14:textFill>
                      </w:rPr>
                    </m:ctrlPr>
                  </m:num>
                  <m:den>
                    <m:sSub>
                      <m:sSubPr>
                        <m:ctrlPr>
                          <w:rPr>
                            <w:rFonts w:ascii="Cambria Math" w:hAnsi="Cambria Math"/>
                            <w:i/>
                            <w:color w:val="000000" w:themeColor="text1"/>
                            <w:kern w:val="2"/>
                            <w:sz w:val="20"/>
                            <w:szCs w:val="20"/>
                            <w:lang w:eastAsia="zh-CN"/>
                            <w14:textFill>
                              <w14:solidFill>
                                <w14:schemeClr w14:val="tx1"/>
                              </w14:solidFill>
                            </w14:textFill>
                          </w:rPr>
                        </m:ctrlPr>
                      </m:sSubPr>
                      <m:e>
                        <m:r>
                          <m:rPr/>
                          <w:rPr>
                            <w:rFonts w:ascii="Cambria Math" w:hAnsi="Cambria Math"/>
                            <w:color w:val="000000" w:themeColor="text1"/>
                            <w:sz w:val="20"/>
                            <w:szCs w:val="20"/>
                            <w14:textFill>
                              <w14:solidFill>
                                <w14:schemeClr w14:val="tx1"/>
                              </w14:solidFill>
                            </w14:textFill>
                          </w:rPr>
                          <m:t>L</m:t>
                        </m:r>
                        <m:ctrlPr>
                          <w:rPr>
                            <w:rFonts w:ascii="Cambria Math" w:hAnsi="Cambria Math"/>
                            <w:i/>
                            <w:color w:val="000000" w:themeColor="text1"/>
                            <w:kern w:val="2"/>
                            <w:sz w:val="20"/>
                            <w:szCs w:val="20"/>
                            <w:lang w:eastAsia="zh-CN"/>
                            <w14:textFill>
                              <w14:solidFill>
                                <w14:schemeClr w14:val="tx1"/>
                              </w14:solidFill>
                            </w14:textFill>
                          </w:rPr>
                        </m:ctrlPr>
                      </m:e>
                      <m:sub>
                        <m:r>
                          <m:rPr/>
                          <w:rPr>
                            <w:rFonts w:ascii="Cambria Math" w:hAnsi="Cambria Math"/>
                            <w:color w:val="000000" w:themeColor="text1"/>
                            <w:sz w:val="20"/>
                            <w:szCs w:val="20"/>
                            <w14:textFill>
                              <w14:solidFill>
                                <w14:schemeClr w14:val="tx1"/>
                              </w14:solidFill>
                            </w14:textFill>
                          </w:rPr>
                          <m:t>CRB</m:t>
                        </m:r>
                        <m:ctrlPr>
                          <w:rPr>
                            <w:rFonts w:ascii="Cambria Math" w:hAnsi="Cambria Math"/>
                            <w:i/>
                            <w:color w:val="000000" w:themeColor="text1"/>
                            <w:kern w:val="2"/>
                            <w:sz w:val="20"/>
                            <w:szCs w:val="20"/>
                            <w:lang w:eastAsia="zh-CN"/>
                            <w14:textFill>
                              <w14:solidFill>
                                <w14:schemeClr w14:val="tx1"/>
                              </w14:solidFill>
                            </w14:textFill>
                          </w:rPr>
                        </m:ctrlPr>
                      </m:sub>
                    </m:sSub>
                    <m:ctrlPr>
                      <w:rPr>
                        <w:rFonts w:ascii="Cambria Math" w:hAnsi="Cambria Math"/>
                        <w:i/>
                        <w:color w:val="000000" w:themeColor="text1"/>
                        <w:sz w:val="20"/>
                        <w:szCs w:val="20"/>
                        <w14:textFill>
                          <w14:solidFill>
                            <w14:schemeClr w14:val="tx1"/>
                          </w14:solidFill>
                        </w14:textFill>
                      </w:rPr>
                    </m:ctrlPr>
                  </m:den>
                </m:f>
                <m:r>
                  <m:rPr>
                    <m:sty m:val="p"/>
                  </m:rPr>
                  <w:rPr>
                    <w:rFonts w:ascii="Cambria Math" w:hAnsi="Cambria Math"/>
                    <w:color w:val="000000" w:themeColor="text1"/>
                    <w:sz w:val="20"/>
                    <w:szCs w:val="20"/>
                    <w14:textFill>
                      <w14:solidFill>
                        <w14:schemeClr w14:val="tx1"/>
                      </w14:solidFill>
                    </w14:textFill>
                  </w:rPr>
                  <m:t xml:space="preserve">, </m:t>
                </m:r>
              </m:oMath>
            </m:oMathPara>
          </w:p>
          <w:p>
            <w:pPr>
              <w:overflowPunct w:val="0"/>
              <w:autoSpaceDE w:val="0"/>
              <w:autoSpaceDN w:val="0"/>
              <w:adjustRightInd w:val="0"/>
              <w:spacing w:after="0"/>
              <w:ind w:left="578"/>
              <w:jc w:val="both"/>
              <w:textAlignment w:val="baseline"/>
              <w:rPr>
                <w:color w:val="000000" w:themeColor="text1"/>
                <w:sz w:val="20"/>
                <w:szCs w:val="20"/>
                <w14:textFill>
                  <w14:solidFill>
                    <w14:schemeClr w14:val="tx1"/>
                  </w14:solidFill>
                </w14:textFill>
              </w:rPr>
            </w:pPr>
            <m:oMathPara>
              <m:oMathParaPr>
                <m:jc m:val="center"/>
              </m:oMathParaPr>
              <m:oMath>
                <m:r>
                  <m:rPr>
                    <m:sty m:val="p"/>
                  </m:rPr>
                  <w:rPr>
                    <w:rFonts w:ascii="Cambria Math" w:hAnsi="Cambria Math"/>
                    <w:color w:val="000000" w:themeColor="text1"/>
                    <w:sz w:val="20"/>
                    <w:szCs w:val="20"/>
                    <w14:textFill>
                      <w14:solidFill>
                        <w14:schemeClr w14:val="tx1"/>
                      </w14:solidFill>
                    </w14:textFill>
                  </w:rPr>
                  <m:t xml:space="preserve">−57dBm + 10log10(SCS/15kHz)− </m:t>
                </m:r>
                <m:acc>
                  <m:accPr>
                    <m:chr m:val="̅"/>
                    <m:ctrlPr>
                      <w:rPr>
                        <w:rFonts w:ascii="Cambria Math" w:hAnsi="Cambria Math"/>
                        <w:color w:val="000000" w:themeColor="text1"/>
                        <w:kern w:val="2"/>
                        <w:sz w:val="20"/>
                        <w:szCs w:val="20"/>
                        <w:lang w:eastAsia="zh-CN"/>
                        <w14:textFill>
                          <w14:solidFill>
                            <w14:schemeClr w14:val="tx1"/>
                          </w14:solidFill>
                        </w14:textFill>
                      </w:rPr>
                    </m:ctrlPr>
                  </m:accPr>
                  <m:e>
                    <m:sSub>
                      <m:sSubPr>
                        <m:ctrlPr>
                          <w:rPr>
                            <w:rFonts w:ascii="Cambria Math" w:hAnsi="Cambria Math"/>
                            <w:i/>
                            <w:color w:val="000000" w:themeColor="text1"/>
                            <w:kern w:val="2"/>
                            <w:sz w:val="20"/>
                            <w:szCs w:val="20"/>
                            <w:lang w:eastAsia="zh-CN"/>
                            <w14:textFill>
                              <w14:solidFill>
                                <w14:schemeClr w14:val="tx1"/>
                              </w14:solidFill>
                            </w14:textFill>
                          </w:rPr>
                        </m:ctrlPr>
                      </m:sSubPr>
                      <m:e>
                        <m:r>
                          <m:rPr/>
                          <w:rPr>
                            <w:rFonts w:ascii="Cambria Math" w:hAnsi="Cambria Math"/>
                            <w:color w:val="000000" w:themeColor="text1"/>
                            <w:sz w:val="20"/>
                            <w:szCs w:val="20"/>
                            <w14:textFill>
                              <w14:solidFill>
                                <w14:schemeClr w14:val="tx1"/>
                              </w14:solidFill>
                            </w14:textFill>
                          </w:rPr>
                          <m:t>P</m:t>
                        </m:r>
                        <m:ctrlPr>
                          <w:rPr>
                            <w:rFonts w:ascii="Cambria Math" w:hAnsi="Cambria Math"/>
                            <w:i/>
                            <w:color w:val="000000" w:themeColor="text1"/>
                            <w:kern w:val="2"/>
                            <w:sz w:val="20"/>
                            <w:szCs w:val="20"/>
                            <w:lang w:eastAsia="zh-CN"/>
                            <w14:textFill>
                              <w14:solidFill>
                                <w14:schemeClr w14:val="tx1"/>
                              </w14:solidFill>
                            </w14:textFill>
                          </w:rPr>
                        </m:ctrlPr>
                      </m:e>
                      <m:sub>
                        <m:r>
                          <m:rPr/>
                          <w:rPr>
                            <w:rFonts w:ascii="Cambria Math" w:hAnsi="Cambria Math"/>
                            <w:color w:val="000000" w:themeColor="text1"/>
                            <w:sz w:val="20"/>
                            <w:szCs w:val="20"/>
                            <w14:textFill>
                              <w14:solidFill>
                                <w14:schemeClr w14:val="tx1"/>
                              </w14:solidFill>
                            </w14:textFill>
                          </w:rPr>
                          <m:t>RB</m:t>
                        </m:r>
                        <m:ctrlPr>
                          <w:rPr>
                            <w:rFonts w:ascii="Cambria Math" w:hAnsi="Cambria Math"/>
                            <w:i/>
                            <w:color w:val="000000" w:themeColor="text1"/>
                            <w:kern w:val="2"/>
                            <w:sz w:val="20"/>
                            <w:szCs w:val="20"/>
                            <w:lang w:eastAsia="zh-CN"/>
                            <w14:textFill>
                              <w14:solidFill>
                                <w14:schemeClr w14:val="tx1"/>
                              </w14:solidFill>
                            </w14:textFill>
                          </w:rPr>
                        </m:ctrlPr>
                      </m:sub>
                    </m:sSub>
                    <m:ctrlPr>
                      <w:rPr>
                        <w:rFonts w:ascii="Cambria Math" w:hAnsi="Cambria Math"/>
                        <w:color w:val="000000" w:themeColor="text1"/>
                        <w:kern w:val="2"/>
                        <w:sz w:val="20"/>
                        <w:szCs w:val="20"/>
                        <w:lang w:eastAsia="zh-CN"/>
                        <w14:textFill>
                          <w14:solidFill>
                            <w14:schemeClr w14:val="tx1"/>
                          </w14:solidFill>
                        </w14:textFill>
                      </w:rPr>
                    </m:ctrlPr>
                  </m:e>
                </m:acc>
                <m:r>
                  <m:rPr/>
                  <w:rPr>
                    <w:rFonts w:ascii="Cambria Math" w:hAnsi="Cambria Math"/>
                    <w:color w:val="000000" w:themeColor="text1"/>
                    <w:sz w:val="20"/>
                    <w:szCs w:val="20"/>
                    <w14:textFill>
                      <w14:solidFill>
                        <w14:schemeClr w14:val="tx1"/>
                      </w14:solidFill>
                    </w14:textFill>
                  </w:rPr>
                  <m:t>})</m:t>
                </m:r>
              </m:oMath>
            </m:oMathPara>
          </w:p>
          <w:p>
            <w:pPr>
              <w:overflowPunct w:val="0"/>
              <w:autoSpaceDE w:val="0"/>
              <w:autoSpaceDN w:val="0"/>
              <w:adjustRightInd w:val="0"/>
              <w:spacing w:after="120"/>
              <w:ind w:left="576"/>
              <w:jc w:val="center"/>
              <w:textAlignment w:val="baseline"/>
              <w:rPr>
                <w:color w:val="000000" w:themeColor="text1"/>
                <w:sz w:val="20"/>
                <w:szCs w:val="20"/>
                <w:lang w:eastAsia="zh-CN"/>
                <w14:textFill>
                  <w14:solidFill>
                    <w14:schemeClr w14:val="tx1"/>
                  </w14:solidFill>
                </w14:textFill>
              </w:rPr>
            </w:pPr>
            <w:r>
              <w:rPr>
                <w:color w:val="000000" w:themeColor="text1"/>
                <w:sz w:val="20"/>
                <w:szCs w:val="20"/>
                <w14:textFill>
                  <w14:solidFill>
                    <w14:schemeClr w14:val="tx1"/>
                  </w14:solidFill>
                </w14:textFill>
              </w:rPr>
              <w:object>
                <v:shape id="_x0000_i1026" o:spt="75" type="#_x0000_t75" style="height:177.45pt;width:287.55pt;" o:ole="t" filled="f" o:preferrelative="t" stroked="f" coordsize="21600,21600">
                  <v:path/>
                  <v:fill on="f" focussize="0,0"/>
                  <v:stroke on="f" joinstyle="miter"/>
                  <v:imagedata r:id="rId21" o:title=""/>
                  <o:lock v:ext="edit" aspectratio="t"/>
                  <w10:wrap type="none"/>
                  <w10:anchorlock/>
                </v:shape>
                <o:OLEObject Type="Embed" ProgID="Visio.Drawing.15" ShapeID="_x0000_i1026" DrawAspect="Content" ObjectID="_1468075726" r:id="rId20">
                  <o:LockedField>false</o:LockedField>
                </o:OLEObject>
              </w:object>
            </w:r>
          </w:p>
          <w:p>
            <w:pPr>
              <w:pStyle w:val="34"/>
              <w:numPr>
                <w:ilvl w:val="1"/>
                <w:numId w:val="10"/>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Proposal 2: (ZTE)</w:t>
            </w:r>
          </w:p>
          <w:p>
            <w:pPr>
              <w:pStyle w:val="34"/>
              <w:numPr>
                <w:ilvl w:val="2"/>
                <w:numId w:val="10"/>
              </w:numPr>
              <w:overflowPunct/>
              <w:autoSpaceDE/>
              <w:autoSpaceDN/>
              <w:adjustRightIn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Use the IBE limit of -25 dB between edges of UE CBW and extended UE CBW for full RB allocation scenario </w:t>
            </w:r>
          </w:p>
          <w:p>
            <w:pPr>
              <w:pStyle w:val="34"/>
              <w:numPr>
                <w:ilvl w:val="1"/>
                <w:numId w:val="10"/>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Proposal 3: (Huawei)</w:t>
            </w:r>
          </w:p>
          <w:p>
            <w:pPr>
              <w:pStyle w:val="34"/>
              <w:numPr>
                <w:ilvl w:val="2"/>
                <w:numId w:val="10"/>
              </w:numPr>
              <w:overflowPunct/>
              <w:autoSpaceDE/>
              <w:autoSpaceDN/>
              <w:adjustRightIn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For the full RB allocation case, the RB index that used for IBE value derivation applies to all the extended RBs is set to +1(-1). The equation for IBE derivation is:</w:t>
            </w:r>
          </w:p>
          <w:p>
            <w:pPr>
              <w:overflowPunct w:val="0"/>
              <w:autoSpaceDE w:val="0"/>
              <w:autoSpaceDN w:val="0"/>
              <w:adjustRightInd w:val="0"/>
              <w:spacing w:after="180"/>
              <w:ind w:left="576"/>
              <w:jc w:val="center"/>
              <w:textAlignment w:val="baseline"/>
              <w:rPr>
                <w:i/>
                <w:color w:val="000000" w:themeColor="text1"/>
                <w:sz w:val="20"/>
                <w:szCs w:val="20"/>
                <w14:textFill>
                  <w14:solidFill>
                    <w14:schemeClr w14:val="tx1"/>
                  </w14:solidFill>
                </w14:textFill>
              </w:rPr>
            </w:pPr>
            <m:oMathPara>
              <m:oMath>
                <m:func>
                  <m:funcPr>
                    <m:ctrlPr>
                      <w:rPr>
                        <w:rFonts w:ascii="Cambria Math" w:hAnsi="Cambria Math"/>
                        <w:color w:val="000000" w:themeColor="text1"/>
                        <w:sz w:val="20"/>
                        <w:szCs w:val="20"/>
                        <w14:textFill>
                          <w14:solidFill>
                            <w14:schemeClr w14:val="tx1"/>
                          </w14:solidFill>
                        </w14:textFill>
                      </w:rPr>
                    </m:ctrlPr>
                  </m:funcPr>
                  <m:fName>
                    <m:r>
                      <m:rPr>
                        <m:sty m:val="p"/>
                      </m:rPr>
                      <w:rPr>
                        <w:rFonts w:ascii="Cambria Math" w:hAnsi="Cambria Math"/>
                        <w:color w:val="000000" w:themeColor="text1"/>
                        <w:sz w:val="20"/>
                        <w:szCs w:val="20"/>
                        <w14:textFill>
                          <w14:solidFill>
                            <w14:schemeClr w14:val="tx1"/>
                          </w14:solidFill>
                        </w14:textFill>
                      </w:rPr>
                      <m:t>max</m:t>
                    </m:r>
                    <m:ctrlPr>
                      <w:rPr>
                        <w:rFonts w:ascii="Cambria Math" w:hAnsi="Cambria Math"/>
                        <w:color w:val="000000" w:themeColor="text1"/>
                        <w:sz w:val="20"/>
                        <w:szCs w:val="20"/>
                        <w14:textFill>
                          <w14:solidFill>
                            <w14:schemeClr w14:val="tx1"/>
                          </w14:solidFill>
                        </w14:textFill>
                      </w:rPr>
                    </m:ctrlPr>
                  </m:fName>
                  <m:e>
                    <m:d>
                      <m:dPr>
                        <m:begChr m:val="{"/>
                        <m:endChr m:val="}"/>
                        <m:ctrlPr>
                          <w:rPr>
                            <w:rFonts w:ascii="Cambria Math" w:hAnsi="Cambria Math"/>
                            <w:color w:val="000000" w:themeColor="text1"/>
                            <w:sz w:val="20"/>
                            <w:szCs w:val="20"/>
                            <w14:textFill>
                              <w14:solidFill>
                                <w14:schemeClr w14:val="tx1"/>
                              </w14:solidFill>
                            </w14:textFill>
                          </w:rPr>
                        </m:ctrlPr>
                      </m:dPr>
                      <m:e>
                        <m:r>
                          <m:rPr/>
                          <w:rPr>
                            <w:rFonts w:ascii="Cambria Math" w:hAnsi="Cambria Math"/>
                            <w:color w:val="000000" w:themeColor="text1"/>
                            <w:sz w:val="20"/>
                            <w:szCs w:val="20"/>
                            <w14:textFill>
                              <w14:solidFill>
                                <w14:schemeClr w14:val="tx1"/>
                              </w14:solidFill>
                            </w14:textFill>
                          </w:rPr>
                          <m:t>−25, 10</m:t>
                        </m:r>
                        <m:sSub>
                          <m:sSubPr>
                            <m:ctrlPr>
                              <w:rPr>
                                <w:rFonts w:ascii="Cambria Math" w:hAnsi="Cambria Math"/>
                                <w:i/>
                                <w:color w:val="000000" w:themeColor="text1"/>
                                <w:sz w:val="20"/>
                                <w:szCs w:val="20"/>
                                <w14:textFill>
                                  <w14:solidFill>
                                    <w14:schemeClr w14:val="tx1"/>
                                  </w14:solidFill>
                                </w14:textFill>
                              </w:rPr>
                            </m:ctrlPr>
                          </m:sSubPr>
                          <m:e>
                            <m:r>
                              <m:rPr/>
                              <w:rPr>
                                <w:rFonts w:ascii="Cambria Math" w:hAnsi="Cambria Math"/>
                                <w:color w:val="000000" w:themeColor="text1"/>
                                <w:sz w:val="20"/>
                                <w:szCs w:val="20"/>
                                <w14:textFill>
                                  <w14:solidFill>
                                    <w14:schemeClr w14:val="tx1"/>
                                  </w14:solidFill>
                                </w14:textFill>
                              </w:rPr>
                              <m:t>log</m:t>
                            </m:r>
                            <m:ctrlPr>
                              <w:rPr>
                                <w:rFonts w:ascii="Cambria Math" w:hAnsi="Cambria Math"/>
                                <w:i/>
                                <w:color w:val="000000" w:themeColor="text1"/>
                                <w:sz w:val="20"/>
                                <w:szCs w:val="20"/>
                                <w14:textFill>
                                  <w14:solidFill>
                                    <w14:schemeClr w14:val="tx1"/>
                                  </w14:solidFill>
                                </w14:textFill>
                              </w:rPr>
                            </m:ctrlPr>
                          </m:e>
                          <m:sub>
                            <m:r>
                              <m:rPr/>
                              <w:rPr>
                                <w:rFonts w:ascii="Cambria Math" w:hAnsi="Cambria Math"/>
                                <w:color w:val="000000" w:themeColor="text1"/>
                                <w:sz w:val="20"/>
                                <w:szCs w:val="20"/>
                                <w14:textFill>
                                  <w14:solidFill>
                                    <w14:schemeClr w14:val="tx1"/>
                                  </w14:solidFill>
                                </w14:textFill>
                              </w:rPr>
                              <m:t>10</m:t>
                            </m:r>
                            <m:ctrlPr>
                              <w:rPr>
                                <w:rFonts w:ascii="Cambria Math" w:hAnsi="Cambria Math"/>
                                <w:i/>
                                <w:color w:val="000000" w:themeColor="text1"/>
                                <w:sz w:val="20"/>
                                <w:szCs w:val="20"/>
                                <w14:textFill>
                                  <w14:solidFill>
                                    <w14:schemeClr w14:val="tx1"/>
                                  </w14:solidFill>
                                </w14:textFill>
                              </w:rPr>
                            </m:ctrlPr>
                          </m:sub>
                        </m:sSub>
                        <m:r>
                          <m:rPr/>
                          <w:rPr>
                            <w:rFonts w:ascii="Cambria Math" w:hAnsi="Cambria Math"/>
                            <w:color w:val="000000" w:themeColor="text1"/>
                            <w:sz w:val="20"/>
                            <w:szCs w:val="20"/>
                            <w14:textFill>
                              <w14:solidFill>
                                <w14:schemeClr w14:val="tx1"/>
                              </w14:solidFill>
                            </w14:textFill>
                          </w:rPr>
                          <m:t>EVM−3, −57dBm+10</m:t>
                        </m:r>
                        <m:sSub>
                          <m:sSubPr>
                            <m:ctrlPr>
                              <w:rPr>
                                <w:rFonts w:ascii="Cambria Math" w:hAnsi="Cambria Math"/>
                                <w:i/>
                                <w:color w:val="000000" w:themeColor="text1"/>
                                <w:sz w:val="20"/>
                                <w:szCs w:val="20"/>
                                <w14:textFill>
                                  <w14:solidFill>
                                    <w14:schemeClr w14:val="tx1"/>
                                  </w14:solidFill>
                                </w14:textFill>
                              </w:rPr>
                            </m:ctrlPr>
                          </m:sSubPr>
                          <m:e>
                            <m:r>
                              <m:rPr/>
                              <w:rPr>
                                <w:rFonts w:ascii="Cambria Math" w:hAnsi="Cambria Math"/>
                                <w:color w:val="000000" w:themeColor="text1"/>
                                <w:sz w:val="20"/>
                                <w:szCs w:val="20"/>
                                <w14:textFill>
                                  <w14:solidFill>
                                    <w14:schemeClr w14:val="tx1"/>
                                  </w14:solidFill>
                                </w14:textFill>
                              </w:rPr>
                              <m:t>log</m:t>
                            </m:r>
                            <m:ctrlPr>
                              <w:rPr>
                                <w:rFonts w:ascii="Cambria Math" w:hAnsi="Cambria Math"/>
                                <w:i/>
                                <w:color w:val="000000" w:themeColor="text1"/>
                                <w:sz w:val="20"/>
                                <w:szCs w:val="20"/>
                                <w14:textFill>
                                  <w14:solidFill>
                                    <w14:schemeClr w14:val="tx1"/>
                                  </w14:solidFill>
                                </w14:textFill>
                              </w:rPr>
                            </m:ctrlPr>
                          </m:e>
                          <m:sub>
                            <m:r>
                              <m:rPr/>
                              <w:rPr>
                                <w:rFonts w:ascii="Cambria Math" w:hAnsi="Cambria Math"/>
                                <w:color w:val="000000" w:themeColor="text1"/>
                                <w:sz w:val="20"/>
                                <w:szCs w:val="20"/>
                                <w14:textFill>
                                  <w14:solidFill>
                                    <w14:schemeClr w14:val="tx1"/>
                                  </w14:solidFill>
                                </w14:textFill>
                              </w:rPr>
                              <m:t>10</m:t>
                            </m:r>
                            <m:ctrlPr>
                              <w:rPr>
                                <w:rFonts w:ascii="Cambria Math" w:hAnsi="Cambria Math"/>
                                <w:i/>
                                <w:color w:val="000000" w:themeColor="text1"/>
                                <w:sz w:val="20"/>
                                <w:szCs w:val="20"/>
                                <w14:textFill>
                                  <w14:solidFill>
                                    <w14:schemeClr w14:val="tx1"/>
                                  </w14:solidFill>
                                </w14:textFill>
                              </w:rPr>
                            </m:ctrlPr>
                          </m:sub>
                        </m:sSub>
                        <m:d>
                          <m:dPr>
                            <m:ctrlPr>
                              <w:rPr>
                                <w:rFonts w:ascii="Cambria Math" w:hAnsi="Cambria Math"/>
                                <w:i/>
                                <w:color w:val="000000" w:themeColor="text1"/>
                                <w:sz w:val="20"/>
                                <w:szCs w:val="20"/>
                                <w14:textFill>
                                  <w14:solidFill>
                                    <w14:schemeClr w14:val="tx1"/>
                                  </w14:solidFill>
                                </w14:textFill>
                              </w:rPr>
                            </m:ctrlPr>
                          </m:dPr>
                          <m:e>
                            <m:f>
                              <m:fPr>
                                <m:ctrlPr>
                                  <w:rPr>
                                    <w:rFonts w:ascii="Cambria Math" w:hAnsi="Cambria Math"/>
                                    <w:i/>
                                    <w:color w:val="000000" w:themeColor="text1"/>
                                    <w:sz w:val="20"/>
                                    <w:szCs w:val="20"/>
                                    <w14:textFill>
                                      <w14:solidFill>
                                        <w14:schemeClr w14:val="tx1"/>
                                      </w14:solidFill>
                                    </w14:textFill>
                                  </w:rPr>
                                </m:ctrlPr>
                              </m:fPr>
                              <m:num>
                                <m:r>
                                  <m:rPr/>
                                  <w:rPr>
                                    <w:rFonts w:ascii="Cambria Math" w:hAnsi="Cambria Math"/>
                                    <w:color w:val="000000" w:themeColor="text1"/>
                                    <w:sz w:val="20"/>
                                    <w:szCs w:val="20"/>
                                    <w14:textFill>
                                      <w14:solidFill>
                                        <w14:schemeClr w14:val="tx1"/>
                                      </w14:solidFill>
                                    </w14:textFill>
                                  </w:rPr>
                                  <m:t>SCS</m:t>
                                </m:r>
                                <m:ctrlPr>
                                  <w:rPr>
                                    <w:rFonts w:ascii="Cambria Math" w:hAnsi="Cambria Math"/>
                                    <w:i/>
                                    <w:color w:val="000000" w:themeColor="text1"/>
                                    <w:sz w:val="20"/>
                                    <w:szCs w:val="20"/>
                                    <w14:textFill>
                                      <w14:solidFill>
                                        <w14:schemeClr w14:val="tx1"/>
                                      </w14:solidFill>
                                    </w14:textFill>
                                  </w:rPr>
                                </m:ctrlPr>
                              </m:num>
                              <m:den>
                                <m:r>
                                  <m:rPr/>
                                  <w:rPr>
                                    <w:rFonts w:ascii="Cambria Math" w:hAnsi="Cambria Math"/>
                                    <w:color w:val="000000" w:themeColor="text1"/>
                                    <w:sz w:val="20"/>
                                    <w:szCs w:val="20"/>
                                    <w14:textFill>
                                      <w14:solidFill>
                                        <w14:schemeClr w14:val="tx1"/>
                                      </w14:solidFill>
                                    </w14:textFill>
                                  </w:rPr>
                                  <m:t>15kHz</m:t>
                                </m:r>
                                <m:ctrlPr>
                                  <w:rPr>
                                    <w:rFonts w:ascii="Cambria Math" w:hAnsi="Cambria Math"/>
                                    <w:i/>
                                    <w:color w:val="000000" w:themeColor="text1"/>
                                    <w:sz w:val="20"/>
                                    <w:szCs w:val="20"/>
                                    <w14:textFill>
                                      <w14:solidFill>
                                        <w14:schemeClr w14:val="tx1"/>
                                      </w14:solidFill>
                                    </w14:textFill>
                                  </w:rPr>
                                </m:ctrlPr>
                              </m:den>
                            </m:f>
                            <m:ctrlPr>
                              <w:rPr>
                                <w:rFonts w:ascii="Cambria Math" w:hAnsi="Cambria Math"/>
                                <w:i/>
                                <w:color w:val="000000" w:themeColor="text1"/>
                                <w:sz w:val="20"/>
                                <w:szCs w:val="20"/>
                                <w14:textFill>
                                  <w14:solidFill>
                                    <w14:schemeClr w14:val="tx1"/>
                                  </w14:solidFill>
                                </w14:textFill>
                              </w:rPr>
                            </m:ctrlPr>
                          </m:e>
                        </m:d>
                        <m:r>
                          <m:rPr/>
                          <w:rPr>
                            <w:rFonts w:ascii="Cambria Math" w:hAnsi="Cambria Math"/>
                            <w:color w:val="000000" w:themeColor="text1"/>
                            <w:sz w:val="20"/>
                            <w:szCs w:val="20"/>
                            <w14:textFill>
                              <w14:solidFill>
                                <w14:schemeClr w14:val="tx1"/>
                              </w14:solidFill>
                            </w14:textFill>
                          </w:rPr>
                          <m:t>−</m:t>
                        </m:r>
                        <m:acc>
                          <m:accPr>
                            <m:chr m:val="̅"/>
                            <m:ctrlPr>
                              <w:rPr>
                                <w:rFonts w:ascii="Cambria Math" w:hAnsi="Cambria Math"/>
                                <w:i/>
                                <w:color w:val="000000" w:themeColor="text1"/>
                                <w:sz w:val="20"/>
                                <w:szCs w:val="20"/>
                                <w14:textFill>
                                  <w14:solidFill>
                                    <w14:schemeClr w14:val="tx1"/>
                                  </w14:solidFill>
                                </w14:textFill>
                              </w:rPr>
                            </m:ctrlPr>
                          </m:accPr>
                          <m:e>
                            <m:sSub>
                              <m:sSubPr>
                                <m:ctrlPr>
                                  <w:rPr>
                                    <w:rFonts w:ascii="Cambria Math" w:hAnsi="Cambria Math"/>
                                    <w:i/>
                                    <w:color w:val="000000" w:themeColor="text1"/>
                                    <w:sz w:val="20"/>
                                    <w:szCs w:val="20"/>
                                    <w14:textFill>
                                      <w14:solidFill>
                                        <w14:schemeClr w14:val="tx1"/>
                                      </w14:solidFill>
                                    </w14:textFill>
                                  </w:rPr>
                                </m:ctrlPr>
                              </m:sSubPr>
                              <m:e>
                                <m:r>
                                  <m:rPr/>
                                  <w:rPr>
                                    <w:rFonts w:ascii="Cambria Math" w:hAnsi="Cambria Math"/>
                                    <w:color w:val="000000" w:themeColor="text1"/>
                                    <w:sz w:val="20"/>
                                    <w:szCs w:val="20"/>
                                    <w14:textFill>
                                      <w14:solidFill>
                                        <w14:schemeClr w14:val="tx1"/>
                                      </w14:solidFill>
                                    </w14:textFill>
                                  </w:rPr>
                                  <m:t>P</m:t>
                                </m:r>
                                <m:ctrlPr>
                                  <w:rPr>
                                    <w:rFonts w:ascii="Cambria Math" w:hAnsi="Cambria Math"/>
                                    <w:i/>
                                    <w:color w:val="000000" w:themeColor="text1"/>
                                    <w:sz w:val="20"/>
                                    <w:szCs w:val="20"/>
                                    <w14:textFill>
                                      <w14:solidFill>
                                        <w14:schemeClr w14:val="tx1"/>
                                      </w14:solidFill>
                                    </w14:textFill>
                                  </w:rPr>
                                </m:ctrlPr>
                              </m:e>
                              <m:sub>
                                <m:r>
                                  <m:rPr/>
                                  <w:rPr>
                                    <w:rFonts w:ascii="Cambria Math" w:hAnsi="Cambria Math"/>
                                    <w:color w:val="000000" w:themeColor="text1"/>
                                    <w:sz w:val="20"/>
                                    <w:szCs w:val="20"/>
                                    <w14:textFill>
                                      <w14:solidFill>
                                        <w14:schemeClr w14:val="tx1"/>
                                      </w14:solidFill>
                                    </w14:textFill>
                                  </w:rPr>
                                  <m:t>RB</m:t>
                                </m:r>
                                <m:ctrlPr>
                                  <w:rPr>
                                    <w:rFonts w:ascii="Cambria Math" w:hAnsi="Cambria Math"/>
                                    <w:i/>
                                    <w:color w:val="000000" w:themeColor="text1"/>
                                    <w:sz w:val="20"/>
                                    <w:szCs w:val="20"/>
                                    <w14:textFill>
                                      <w14:solidFill>
                                        <w14:schemeClr w14:val="tx1"/>
                                      </w14:solidFill>
                                    </w14:textFill>
                                  </w:rPr>
                                </m:ctrlPr>
                              </m:sub>
                            </m:sSub>
                            <m:ctrlPr>
                              <w:rPr>
                                <w:rFonts w:ascii="Cambria Math" w:hAnsi="Cambria Math"/>
                                <w:i/>
                                <w:color w:val="000000" w:themeColor="text1"/>
                                <w:sz w:val="20"/>
                                <w:szCs w:val="20"/>
                                <w14:textFill>
                                  <w14:solidFill>
                                    <w14:schemeClr w14:val="tx1"/>
                                  </w14:solidFill>
                                </w14:textFill>
                              </w:rPr>
                            </m:ctrlPr>
                          </m:e>
                        </m:acc>
                        <m:ctrlPr>
                          <w:rPr>
                            <w:rFonts w:ascii="Cambria Math" w:hAnsi="Cambria Math"/>
                            <w:color w:val="000000" w:themeColor="text1"/>
                            <w:sz w:val="20"/>
                            <w:szCs w:val="20"/>
                            <w14:textFill>
                              <w14:solidFill>
                                <w14:schemeClr w14:val="tx1"/>
                              </w14:solidFill>
                            </w14:textFill>
                          </w:rPr>
                        </m:ctrlPr>
                      </m:e>
                    </m:d>
                    <m:ctrlPr>
                      <w:rPr>
                        <w:rFonts w:ascii="Cambria Math" w:hAnsi="Cambria Math"/>
                        <w:color w:val="000000" w:themeColor="text1"/>
                        <w:sz w:val="20"/>
                        <w:szCs w:val="20"/>
                        <w14:textFill>
                          <w14:solidFill>
                            <w14:schemeClr w14:val="tx1"/>
                          </w14:solidFill>
                        </w14:textFill>
                      </w:rPr>
                    </m:ctrlPr>
                  </m:e>
                </m:func>
              </m:oMath>
            </m:oMathPara>
          </w:p>
          <w:p>
            <w:pPr>
              <w:pStyle w:val="34"/>
              <w:numPr>
                <w:ilvl w:val="1"/>
                <w:numId w:val="10"/>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Proposal 4: (China Telecom)</w:t>
            </w:r>
          </w:p>
          <w:p>
            <w:pPr>
              <w:pStyle w:val="34"/>
              <w:numPr>
                <w:ilvl w:val="2"/>
                <w:numId w:val="10"/>
              </w:numPr>
              <w:overflowPunct/>
              <w:autoSpaceDE/>
              <w:autoSpaceDN/>
              <w:adjustRightIn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For full RB allocation, if the extended UE CBW exists, the IBE should be applied.</w:t>
            </w:r>
          </w:p>
          <w:p>
            <w:pPr>
              <w:pStyle w:val="34"/>
              <w:numPr>
                <w:ilvl w:val="1"/>
                <w:numId w:val="10"/>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Proposal 5: (Qualcomm)</w:t>
            </w:r>
          </w:p>
          <w:p>
            <w:pPr>
              <w:pStyle w:val="34"/>
              <w:numPr>
                <w:ilvl w:val="2"/>
                <w:numId w:val="10"/>
              </w:numPr>
              <w:overflowPunct/>
              <w:autoSpaceDE/>
              <w:autoSpaceDN/>
              <w:adjustRightIn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The IBE between the edge of the UE BW and the edge of the extended UE BW should be an extension of the IBE for the signal within the UE BW.  </w:t>
            </w:r>
          </w:p>
          <w:p>
            <w:pPr>
              <w:pStyle w:val="34"/>
              <w:numPr>
                <w:ilvl w:val="0"/>
                <w:numId w:val="10"/>
              </w:numPr>
              <w:overflowPunct/>
              <w:autoSpaceDE/>
              <w:autoSpaceDN/>
              <w:adjustRightInd/>
              <w:spacing w:after="120"/>
              <w:ind w:left="72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WF</w:t>
            </w:r>
          </w:p>
          <w:p>
            <w:pPr>
              <w:pStyle w:val="34"/>
              <w:numPr>
                <w:ilvl w:val="1"/>
                <w:numId w:val="10"/>
              </w:numPr>
              <w:overflowPunct/>
              <w:autoSpaceDE/>
              <w:autoSpaceDN/>
              <w:adjustRightInd/>
              <w:spacing w:after="120"/>
              <w:ind w:left="144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FFS the method to derive the extended IBE, which should cover both cases for partial RB allocation and full RB allocation in the UE CBW</w:t>
            </w:r>
          </w:p>
          <w:p>
            <w:pPr>
              <w:pStyle w:val="34"/>
              <w:numPr>
                <w:ilvl w:val="0"/>
                <w:numId w:val="0"/>
              </w:numPr>
              <w:overflowPunct/>
              <w:autoSpaceDE/>
              <w:autoSpaceDN/>
              <w:adjustRightInd/>
              <w:spacing w:after="120"/>
              <w:textAlignment w:val="auto"/>
              <w:rPr>
                <w:rFonts w:hint="eastAsia" w:cs="Times New Roman"/>
                <w:sz w:val="20"/>
                <w:szCs w:val="20"/>
                <w:vertAlign w:val="baseline"/>
                <w:lang w:val="en-US" w:eastAsia="zh-CN"/>
              </w:rPr>
            </w:pPr>
          </w:p>
        </w:tc>
      </w:tr>
    </w:tbl>
    <w:p>
      <w:pPr>
        <w:rPr>
          <w:rFonts w:hint="default" w:cs="Times New Roman"/>
          <w:sz w:val="20"/>
          <w:szCs w:val="20"/>
          <w:lang w:val="en-US" w:eastAsia="zh-CN"/>
        </w:rPr>
      </w:pPr>
      <w:r>
        <w:rPr>
          <w:rFonts w:hint="eastAsia" w:cs="Times New Roman"/>
          <w:sz w:val="20"/>
          <w:szCs w:val="20"/>
          <w:lang w:val="en-US" w:eastAsia="zh-CN"/>
        </w:rPr>
        <w:t xml:space="preserve">In last meeting, we achieved an agreement that IBE should be used between edges of UE CBW and extended UE CBW. For the application of </w:t>
      </w:r>
      <w:r>
        <w:rPr>
          <w:rFonts w:eastAsia="宋体"/>
          <w:color w:val="000000" w:themeColor="text1"/>
          <w:sz w:val="20"/>
          <w:szCs w:val="20"/>
          <w:lang w:eastAsia="zh-CN"/>
          <w14:textFill>
            <w14:solidFill>
              <w14:schemeClr w14:val="tx1"/>
            </w14:solidFill>
          </w14:textFill>
        </w:rPr>
        <w:t>IBE in guard band of UE CBW</w:t>
      </w:r>
      <w:r>
        <w:rPr>
          <w:rFonts w:hint="eastAsia"/>
          <w:color w:val="000000" w:themeColor="text1"/>
          <w:sz w:val="20"/>
          <w:szCs w:val="20"/>
          <w:lang w:val="en-US" w:eastAsia="zh-CN"/>
          <w14:textFill>
            <w14:solidFill>
              <w14:schemeClr w14:val="tx1"/>
            </w14:solidFill>
          </w14:textFill>
        </w:rPr>
        <w:t>, we can treat it together with the argument about the general limit equation of IBE is based on the UE CBW or extended UE CBW.</w:t>
      </w:r>
    </w:p>
    <w:p>
      <w:pPr>
        <w:rPr>
          <w:rFonts w:hint="eastAsia" w:cs="Times New Roman"/>
          <w:sz w:val="20"/>
          <w:szCs w:val="20"/>
          <w:lang w:val="en-US" w:eastAsia="zh-CN"/>
        </w:rPr>
      </w:pPr>
      <w:r>
        <w:rPr>
          <w:rFonts w:hint="eastAsia" w:cs="Times New Roman"/>
          <w:sz w:val="20"/>
          <w:szCs w:val="20"/>
          <w:lang w:val="en-US" w:eastAsia="zh-CN"/>
        </w:rPr>
        <w:t xml:space="preserve">According to the following equation of general requirement for in-band emissions, the limit is related to the UE channel bandwidth, allocated RB and the starting frequency offset between the allocated RB and the measured non-allocated RB. Based on the reason for limiting in-band emission, the interference from UE that is received with high power at the gNB may drastically reduce the SNR for another UE that is received with weaker signal strength, and the situation improves significantly if some sort of transmit power control in the uplink is used. Since the extended UE CBW is only used to apply ACLR, SEM and SE instead of transmitting data, </w:t>
      </w:r>
      <w:r>
        <w:rPr>
          <w:rFonts w:hint="eastAsia"/>
          <w:color w:val="000000" w:themeColor="text1"/>
          <w:sz w:val="20"/>
          <w:szCs w:val="20"/>
          <w:lang w:val="en-US" w:eastAsia="zh-CN"/>
          <w14:textFill>
            <w14:solidFill>
              <w14:schemeClr w14:val="tx1"/>
            </w14:solidFill>
          </w14:textFill>
        </w:rPr>
        <w:t>the network deploys UE based on the real UE CBW rather than</w:t>
      </w:r>
      <w:r>
        <w:rPr>
          <w:rFonts w:hint="eastAsia" w:cs="Times New Roman"/>
          <w:sz w:val="20"/>
          <w:szCs w:val="20"/>
          <w:lang w:val="en-US" w:eastAsia="zh-CN"/>
        </w:rPr>
        <w:t xml:space="preserve"> </w:t>
      </w:r>
      <w:r>
        <w:rPr>
          <w:rFonts w:eastAsia="宋体"/>
          <w:color w:val="000000" w:themeColor="text1"/>
          <w:sz w:val="20"/>
          <w:szCs w:val="20"/>
          <w:lang w:eastAsia="zh-CN"/>
          <w14:textFill>
            <w14:solidFill>
              <w14:schemeClr w14:val="tx1"/>
            </w14:solidFill>
          </w14:textFill>
        </w:rPr>
        <w:t>extended UE CBW</w:t>
      </w:r>
      <w:r>
        <w:rPr>
          <w:rFonts w:hint="eastAsia"/>
          <w:color w:val="000000" w:themeColor="text1"/>
          <w:sz w:val="20"/>
          <w:szCs w:val="20"/>
          <w:lang w:val="en-US" w:eastAsia="zh-CN"/>
          <w14:textFill>
            <w14:solidFill>
              <w14:schemeClr w14:val="tx1"/>
            </w14:solidFill>
          </w14:textFill>
        </w:rPr>
        <w:t xml:space="preserve">, which means that </w:t>
      </w:r>
      <w:r>
        <w:rPr>
          <w:rFonts w:hint="eastAsia" w:cs="Times New Roman"/>
          <w:sz w:val="20"/>
          <w:szCs w:val="20"/>
          <w:lang w:val="en-US" w:eastAsia="zh-CN"/>
        </w:rPr>
        <w:t xml:space="preserve">it may exist the case another UE is deployed within the extended UE CBW. </w:t>
      </w:r>
    </w:p>
    <w:p>
      <w:pPr>
        <w:jc w:val="center"/>
        <w:rPr>
          <w:rFonts w:hint="eastAsia" w:cs="Times New Roman"/>
          <w:sz w:val="20"/>
          <w:szCs w:val="20"/>
          <w:lang w:val="en-US" w:eastAsia="zh-CN"/>
        </w:rPr>
      </w:pPr>
      <w:r>
        <w:rPr>
          <w:rFonts w:cs="Arial"/>
          <w:position w:val="-54"/>
        </w:rPr>
        <w:object>
          <v:shape id="_x0000_i1027" o:spt="75" type="#_x0000_t75" style="height:45.8pt;width:179.8pt;" o:ole="t" filled="f" o:preferrelative="t" stroked="f" coordsize="21600,21600">
            <v:path/>
            <v:fill on="f" focussize="0,0"/>
            <v:stroke on="f" joinstyle="miter"/>
            <v:imagedata r:id="rId23" o:title=""/>
            <o:lock v:ext="edit" aspectratio="t"/>
            <w10:wrap type="none"/>
            <w10:anchorlock/>
          </v:shape>
          <o:OLEObject Type="Embed" ProgID="Equation.3" ShapeID="_x0000_i1027" DrawAspect="Content" ObjectID="_1468075727" r:id="rId22">
            <o:LockedField>false</o:LockedField>
          </o:OLEObject>
        </w:object>
      </w:r>
    </w:p>
    <w:p>
      <w:pPr>
        <w:rPr>
          <w:rFonts w:hint="eastAsia" w:cs="Times New Roman"/>
          <w:sz w:val="20"/>
          <w:szCs w:val="20"/>
          <w:lang w:val="en-US" w:eastAsia="zh-CN"/>
        </w:rPr>
      </w:pPr>
      <w:r>
        <w:rPr>
          <w:rFonts w:hint="eastAsia" w:cs="Times New Roman"/>
          <w:sz w:val="20"/>
          <w:szCs w:val="20"/>
          <w:lang w:val="en-US" w:eastAsia="zh-CN"/>
        </w:rPr>
        <w:t>In last meeting, a proposal was raised that the IBE based on the extended UE CBW, where N</w:t>
      </w:r>
      <w:r>
        <w:rPr>
          <w:rFonts w:hint="eastAsia" w:cs="Times New Roman"/>
          <w:sz w:val="20"/>
          <w:szCs w:val="20"/>
          <w:vertAlign w:val="subscript"/>
          <w:lang w:val="en-US" w:eastAsia="zh-CN"/>
        </w:rPr>
        <w:t>RB</w:t>
      </w:r>
      <w:r>
        <w:rPr>
          <w:rFonts w:hint="eastAsia" w:cs="Times New Roman"/>
          <w:sz w:val="20"/>
          <w:szCs w:val="20"/>
          <w:lang w:val="en-US" w:eastAsia="zh-CN"/>
        </w:rPr>
        <w:t xml:space="preserve"> in the equation is the extended UE CBW, and apply the extension of the IBE in the guard band of the UE CBW. If doing so, IBE will be relaxed. In order to control UE to UE interference, it</w:t>
      </w:r>
      <w:r>
        <w:rPr>
          <w:rFonts w:hint="default" w:cs="Times New Roman"/>
          <w:sz w:val="20"/>
          <w:szCs w:val="20"/>
          <w:lang w:val="en-US" w:eastAsia="zh-CN"/>
        </w:rPr>
        <w:t>’</w:t>
      </w:r>
      <w:r>
        <w:rPr>
          <w:rFonts w:hint="eastAsia" w:cs="Times New Roman"/>
          <w:sz w:val="20"/>
          <w:szCs w:val="20"/>
          <w:lang w:val="en-US" w:eastAsia="zh-CN"/>
        </w:rPr>
        <w:t>s better not to relax the IBE. So we propose to extend the IBE limit in the outermost RB of UE CBW to the range between edges of UE CBW and extended UE CBW for UE CBW with non-full RB allocation case and use the following equation between edges of UE CBW and extended UE CBW for full RB allocation case. In addition, we think IBE should not be applied in the guard band of UE CBW and the extended UE CBW.</w:t>
      </w:r>
    </w:p>
    <w:p>
      <w:pPr>
        <w:jc w:val="center"/>
        <w:rPr>
          <w:rFonts w:hint="default" w:cs="Times New Roman"/>
          <w:sz w:val="20"/>
          <w:szCs w:val="20"/>
          <w:lang w:val="en-US" w:eastAsia="zh-CN"/>
        </w:rPr>
      </w:pPr>
      <w:r>
        <w:rPr>
          <w:rFonts w:cs="Arial"/>
          <w:position w:val="-10"/>
        </w:rPr>
        <w:object>
          <v:shape id="_x0000_i1028" o:spt="75" type="#_x0000_t75" style="height:14.25pt;width:286.85pt;" o:ole="t" filled="f" o:preferrelative="t" stroked="f" coordsize="21600,21600">
            <v:path/>
            <v:fill on="f" focussize="0,0"/>
            <v:stroke on="f"/>
            <v:imagedata r:id="rId25" o:title=""/>
            <o:lock v:ext="edit" aspectratio="t"/>
            <w10:wrap type="none"/>
            <w10:anchorlock/>
          </v:shape>
          <o:OLEObject Type="Embed" ProgID="Equation.3" ShapeID="_x0000_i1028" DrawAspect="Content" ObjectID="_1468075728" r:id="rId24">
            <o:LockedField>false</o:LockedField>
          </o:OLEObject>
        </w:object>
      </w:r>
    </w:p>
    <w:p>
      <w:pPr>
        <w:rPr>
          <w:rFonts w:hint="default"/>
          <w:b/>
          <w:bCs/>
          <w:i w:val="0"/>
          <w:iCs w:val="0"/>
          <w:sz w:val="20"/>
          <w:szCs w:val="20"/>
          <w:lang w:val="en-US" w:eastAsia="zh-CN"/>
        </w:rPr>
      </w:pPr>
      <w:r>
        <w:rPr>
          <w:rFonts w:hint="eastAsia"/>
          <w:b/>
          <w:bCs/>
          <w:i w:val="0"/>
          <w:iCs w:val="0"/>
          <w:sz w:val="20"/>
          <w:szCs w:val="20"/>
          <w:lang w:val="en-US" w:eastAsia="zh-CN"/>
        </w:rPr>
        <w:t>Proposal 3: IBE should be used between edges of UE CBW and extended UE CBW</w:t>
      </w:r>
    </w:p>
    <w:p>
      <w:pPr>
        <w:pStyle w:val="34"/>
        <w:keepNext w:val="0"/>
        <w:keepLines w:val="0"/>
        <w:pageBreakBefore w:val="0"/>
        <w:widowControl/>
        <w:numPr>
          <w:ilvl w:val="2"/>
          <w:numId w:val="10"/>
        </w:numPr>
        <w:kinsoku/>
        <w:wordWrap/>
        <w:overflowPunct/>
        <w:topLinePunct w:val="0"/>
        <w:autoSpaceDE/>
        <w:autoSpaceDN/>
        <w:bidi w:val="0"/>
        <w:adjustRightInd/>
        <w:snapToGrid/>
        <w:spacing w:after="120"/>
        <w:ind w:left="363" w:hanging="363" w:firstLineChars="0"/>
        <w:textAlignment w:val="auto"/>
        <w:rPr>
          <w:rFonts w:hint="eastAsia"/>
          <w:b/>
          <w:bCs/>
          <w:i w:val="0"/>
          <w:iCs w:val="0"/>
          <w:sz w:val="20"/>
          <w:szCs w:val="20"/>
          <w:lang w:val="en-US" w:eastAsia="zh-CN"/>
        </w:rPr>
      </w:pPr>
      <w:r>
        <w:rPr>
          <w:rFonts w:hint="eastAsia"/>
          <w:b/>
          <w:bCs/>
          <w:i w:val="0"/>
          <w:iCs w:val="0"/>
          <w:sz w:val="20"/>
          <w:szCs w:val="20"/>
          <w:lang w:val="en-US" w:eastAsia="zh-CN"/>
        </w:rPr>
        <w:t>The extension of the IBE is not applied in guard band of UE CBW and the extended UE CBW.</w:t>
      </w:r>
    </w:p>
    <w:p>
      <w:pPr>
        <w:rPr>
          <w:rFonts w:hint="eastAsia"/>
          <w:b/>
          <w:bCs/>
          <w:i w:val="0"/>
          <w:iCs w:val="0"/>
          <w:sz w:val="20"/>
          <w:szCs w:val="20"/>
          <w:lang w:val="en-US" w:eastAsia="zh-CN"/>
        </w:rPr>
      </w:pPr>
      <w:r>
        <w:rPr>
          <w:rFonts w:hint="eastAsia"/>
          <w:b/>
          <w:bCs/>
          <w:i w:val="0"/>
          <w:iCs w:val="0"/>
          <w:sz w:val="20"/>
          <w:szCs w:val="20"/>
          <w:lang w:val="en-US" w:eastAsia="zh-CN"/>
        </w:rPr>
        <w:t xml:space="preserve">Proposal 4: </w:t>
      </w:r>
    </w:p>
    <w:p>
      <w:pPr>
        <w:pStyle w:val="34"/>
        <w:keepNext w:val="0"/>
        <w:keepLines w:val="0"/>
        <w:pageBreakBefore w:val="0"/>
        <w:widowControl/>
        <w:numPr>
          <w:ilvl w:val="2"/>
          <w:numId w:val="10"/>
        </w:numPr>
        <w:kinsoku/>
        <w:wordWrap/>
        <w:overflowPunct/>
        <w:topLinePunct w:val="0"/>
        <w:autoSpaceDE/>
        <w:autoSpaceDN/>
        <w:bidi w:val="0"/>
        <w:adjustRightInd/>
        <w:snapToGrid/>
        <w:spacing w:after="120"/>
        <w:ind w:left="363" w:hanging="363" w:firstLineChars="0"/>
        <w:textAlignment w:val="auto"/>
        <w:rPr>
          <w:rFonts w:hint="eastAsia"/>
          <w:b/>
          <w:bCs/>
          <w:i w:val="0"/>
          <w:iCs w:val="0"/>
          <w:sz w:val="20"/>
          <w:szCs w:val="20"/>
          <w:lang w:val="en-US" w:eastAsia="zh-CN"/>
        </w:rPr>
      </w:pPr>
      <w:r>
        <w:rPr>
          <w:rFonts w:hint="eastAsia"/>
          <w:b/>
          <w:bCs/>
          <w:i w:val="0"/>
          <w:iCs w:val="0"/>
          <w:sz w:val="20"/>
          <w:szCs w:val="20"/>
          <w:lang w:val="en-US" w:eastAsia="zh-CN"/>
        </w:rPr>
        <w:t>Extend the IBE limit in the outermost RB of UE CBW to the range between edges of UE CBW and extended UE CBW for non-full RB allocation scenario</w:t>
      </w:r>
    </w:p>
    <w:p>
      <w:pPr>
        <w:pStyle w:val="34"/>
        <w:keepNext w:val="0"/>
        <w:keepLines w:val="0"/>
        <w:pageBreakBefore w:val="0"/>
        <w:widowControl/>
        <w:numPr>
          <w:ilvl w:val="2"/>
          <w:numId w:val="10"/>
        </w:numPr>
        <w:kinsoku/>
        <w:wordWrap/>
        <w:overflowPunct/>
        <w:topLinePunct w:val="0"/>
        <w:autoSpaceDE/>
        <w:autoSpaceDN/>
        <w:bidi w:val="0"/>
        <w:adjustRightInd/>
        <w:snapToGrid/>
        <w:spacing w:after="120"/>
        <w:ind w:left="363" w:hanging="363" w:firstLineChars="0"/>
        <w:textAlignment w:val="auto"/>
        <w:rPr>
          <w:rFonts w:hint="eastAsia"/>
          <w:b/>
          <w:bCs/>
          <w:i w:val="0"/>
          <w:iCs w:val="0"/>
          <w:sz w:val="20"/>
          <w:szCs w:val="20"/>
          <w:lang w:val="en-US" w:eastAsia="zh-CN"/>
        </w:rPr>
      </w:pPr>
      <w:r>
        <w:rPr>
          <w:rFonts w:hint="eastAsia"/>
          <w:b/>
          <w:bCs/>
          <w:i w:val="0"/>
          <w:iCs w:val="0"/>
          <w:sz w:val="20"/>
          <w:szCs w:val="20"/>
          <w:lang w:val="en-US" w:eastAsia="zh-CN"/>
        </w:rPr>
        <w:t>Use the IBE limit of the following equation between edges of UE CBW and extended UE CBW for full RB allocation scenario</w:t>
      </w:r>
    </w:p>
    <w:p>
      <w:pPr>
        <w:pStyle w:val="34"/>
        <w:keepNext w:val="0"/>
        <w:keepLines w:val="0"/>
        <w:pageBreakBefore w:val="0"/>
        <w:widowControl/>
        <w:numPr>
          <w:ilvl w:val="0"/>
          <w:numId w:val="0"/>
        </w:numPr>
        <w:kinsoku/>
        <w:wordWrap/>
        <w:overflowPunct/>
        <w:topLinePunct w:val="0"/>
        <w:autoSpaceDE/>
        <w:autoSpaceDN/>
        <w:bidi w:val="0"/>
        <w:adjustRightInd/>
        <w:snapToGrid/>
        <w:spacing w:after="120"/>
        <w:ind w:leftChars="0"/>
        <w:jc w:val="center"/>
        <w:textAlignment w:val="auto"/>
        <w:rPr>
          <w:rFonts w:hint="eastAsia"/>
          <w:b/>
          <w:bCs/>
          <w:i w:val="0"/>
          <w:iCs w:val="0"/>
          <w:sz w:val="20"/>
          <w:szCs w:val="20"/>
          <w:lang w:val="en-US" w:eastAsia="zh-CN"/>
        </w:rPr>
      </w:pPr>
      <w:r>
        <w:rPr>
          <w:rFonts w:cs="Arial"/>
          <w:position w:val="-10"/>
        </w:rPr>
        <w:object>
          <v:shape id="_x0000_i1029" o:spt="75" type="#_x0000_t75" style="height:14.25pt;width:286.85pt;" o:ole="t" filled="f" o:preferrelative="t" stroked="f" coordsize="21600,21600">
            <v:path/>
            <v:fill on="f" focussize="0,0"/>
            <v:stroke on="f"/>
            <v:imagedata r:id="rId25" o:title=""/>
            <o:lock v:ext="edit" aspectratio="t"/>
            <w10:wrap type="none"/>
            <w10:anchorlock/>
          </v:shape>
          <o:OLEObject Type="Embed" ProgID="Equation.3" ShapeID="_x0000_i1029" DrawAspect="Content" ObjectID="_1468075729" r:id="rId26">
            <o:LockedField>false</o:LockedField>
          </o:OLEObject>
        </w:object>
      </w:r>
    </w:p>
    <w:p>
      <w:pPr>
        <w:rPr>
          <w:rFonts w:hint="eastAsia"/>
          <w:sz w:val="20"/>
          <w:szCs w:val="20"/>
          <w:lang w:val="en-US" w:eastAsia="zh-CN"/>
        </w:rPr>
      </w:pPr>
    </w:p>
    <w:p>
      <w:pPr>
        <w:rPr>
          <w:rFonts w:hint="eastAsia"/>
          <w:sz w:val="20"/>
          <w:szCs w:val="20"/>
          <w:lang w:val="en-US" w:eastAsia="zh-CN"/>
        </w:rPr>
      </w:pPr>
    </w:p>
    <w:p>
      <w:pPr>
        <w:rPr>
          <w:rFonts w:hint="default"/>
          <w:sz w:val="22"/>
          <w:szCs w:val="22"/>
          <w:lang w:val="en-US" w:eastAsia="zh-CN"/>
        </w:rPr>
      </w:pPr>
      <w:r>
        <w:rPr>
          <w:rFonts w:hint="eastAsia"/>
          <w:b/>
          <w:kern w:val="0"/>
          <w:sz w:val="22"/>
          <w:szCs w:val="22"/>
          <w:highlight w:val="none"/>
          <w:lang w:val="en-US" w:eastAsia="zh-CN"/>
        </w:rPr>
        <w:t>ACLR, SEM, SE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color w:val="000000" w:themeColor="text1"/>
                <w:sz w:val="20"/>
                <w:szCs w:val="20"/>
                <w:u w:val="single"/>
                <w:lang w:val="en-US" w:eastAsia="ko-KR"/>
                <w14:textFill>
                  <w14:solidFill>
                    <w14:schemeClr w14:val="tx1"/>
                  </w14:solidFill>
                </w14:textFill>
              </w:rPr>
            </w:pPr>
            <w:r>
              <w:rPr>
                <w:rFonts w:ascii="Times New Roman" w:hAnsi="Times New Roman"/>
                <w:b/>
                <w:color w:val="000000" w:themeColor="text1"/>
                <w:sz w:val="20"/>
                <w:szCs w:val="20"/>
                <w:u w:val="single"/>
                <w:lang w:val="en-US" w:eastAsia="ko-KR"/>
                <w14:textFill>
                  <w14:solidFill>
                    <w14:schemeClr w14:val="tx1"/>
                  </w14:solidFill>
                </w14:textFill>
              </w:rPr>
              <w:t>Issue 1-2-3: Boundary to apply ACLR and SEM</w:t>
            </w:r>
          </w:p>
          <w:p>
            <w:pPr>
              <w:pStyle w:val="34"/>
              <w:numPr>
                <w:ilvl w:val="0"/>
                <w:numId w:val="10"/>
              </w:numPr>
              <w:overflowPunct/>
              <w:autoSpaceDE/>
              <w:autoSpaceDN/>
              <w:adjustRightInd/>
              <w:spacing w:before="120" w:beforeLines="50" w:after="0"/>
              <w:ind w:left="714" w:hanging="357" w:firstLineChars="0"/>
              <w:textAlignment w:val="auto"/>
              <w:rPr>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Proposals </w:t>
            </w:r>
          </w:p>
          <w:p>
            <w:pPr>
              <w:pStyle w:val="34"/>
              <w:numPr>
                <w:ilvl w:val="1"/>
                <w:numId w:val="10"/>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Proposal 1: ACLR and SEM should be applicable from the edge of extended UE CBW. (Nokia, Qualcomm, </w:t>
            </w:r>
            <w:r>
              <w:rPr>
                <w:rFonts w:hint="eastAsia" w:eastAsia="宋体"/>
                <w:color w:val="000000" w:themeColor="text1"/>
                <w:sz w:val="20"/>
                <w:szCs w:val="20"/>
                <w:lang w:eastAsia="zh-CN"/>
                <w14:textFill>
                  <w14:solidFill>
                    <w14:schemeClr w14:val="tx1"/>
                  </w14:solidFill>
                </w14:textFill>
              </w:rPr>
              <w:t>vivo</w:t>
            </w:r>
            <w:r>
              <w:rPr>
                <w:rFonts w:eastAsia="宋体"/>
                <w:color w:val="000000" w:themeColor="text1"/>
                <w:sz w:val="20"/>
                <w:szCs w:val="20"/>
                <w:lang w:eastAsia="zh-CN"/>
                <w14:textFill>
                  <w14:solidFill>
                    <w14:schemeClr w14:val="tx1"/>
                  </w14:solidFill>
                </w14:textFill>
              </w:rPr>
              <w:t>, ZTE, LGE, OPPO, Huawei, China Telecom)</w:t>
            </w:r>
          </w:p>
          <w:p>
            <w:pPr>
              <w:pStyle w:val="34"/>
              <w:numPr>
                <w:ilvl w:val="2"/>
                <w:numId w:val="10"/>
              </w:numPr>
              <w:overflowPunct/>
              <w:autoSpaceDE/>
              <w:autoSpaceDN/>
              <w:adjustRightIn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Alt 1: The OOBE requirements are based on UE CBW</w:t>
            </w:r>
          </w:p>
          <w:p>
            <w:pPr>
              <w:pStyle w:val="34"/>
              <w:numPr>
                <w:ilvl w:val="2"/>
                <w:numId w:val="10"/>
              </w:numPr>
              <w:overflowPunct/>
              <w:autoSpaceDE/>
              <w:autoSpaceDN/>
              <w:adjustRightIn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Alt 2: The OOBE requirements are based on extended UE CBW</w:t>
            </w:r>
          </w:p>
          <w:tbl>
            <w:tblPr>
              <w:tblStyle w:val="24"/>
              <w:tblW w:w="0" w:type="auto"/>
              <w:jc w:val="cente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autofit"/>
              <w:tblCellMar>
                <w:top w:w="0" w:type="dxa"/>
                <w:left w:w="108" w:type="dxa"/>
                <w:bottom w:w="0" w:type="dxa"/>
                <w:right w:w="108" w:type="dxa"/>
              </w:tblCellMar>
            </w:tblPr>
            <w:tblGrid>
              <w:gridCol w:w="622"/>
              <w:gridCol w:w="6165"/>
            </w:tblGrid>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Ex>
              <w:trPr>
                <w:jc w:val="center"/>
              </w:trPr>
              <w:tc>
                <w:tcPr>
                  <w:tcW w:w="0" w:type="auto"/>
                  <w:vAlign w:val="center"/>
                </w:tcPr>
                <w:p>
                  <w:pPr>
                    <w:overflowPunct w:val="0"/>
                    <w:autoSpaceDE w:val="0"/>
                    <w:autoSpaceDN w:val="0"/>
                    <w:adjustRightInd w:val="0"/>
                    <w:spacing w:after="120"/>
                    <w:jc w:val="center"/>
                    <w:textAlignment w:val="baseline"/>
                    <w:rPr>
                      <w:rFonts w:eastAsiaTheme="minorEastAsia"/>
                      <w:color w:val="000000" w:themeColor="text1"/>
                      <w:sz w:val="20"/>
                      <w:szCs w:val="20"/>
                      <w:lang w:eastAsia="zh-CN"/>
                      <w14:textFill>
                        <w14:solidFill>
                          <w14:schemeClr w14:val="tx1"/>
                        </w14:solidFill>
                      </w14:textFill>
                    </w:rPr>
                  </w:pPr>
                  <w:r>
                    <w:rPr>
                      <w:rFonts w:hint="eastAsia" w:eastAsiaTheme="minorEastAsia"/>
                      <w:color w:val="000000" w:themeColor="text1"/>
                      <w:sz w:val="20"/>
                      <w:szCs w:val="20"/>
                      <w:lang w:eastAsia="zh-CN"/>
                      <w14:textFill>
                        <w14:solidFill>
                          <w14:schemeClr w14:val="tx1"/>
                        </w14:solidFill>
                      </w14:textFill>
                    </w:rPr>
                    <w:t>A</w:t>
                  </w:r>
                  <w:r>
                    <w:rPr>
                      <w:rFonts w:eastAsiaTheme="minorEastAsia"/>
                      <w:color w:val="000000" w:themeColor="text1"/>
                      <w:sz w:val="20"/>
                      <w:szCs w:val="20"/>
                      <w:lang w:eastAsia="zh-CN"/>
                      <w14:textFill>
                        <w14:solidFill>
                          <w14:schemeClr w14:val="tx1"/>
                        </w14:solidFill>
                      </w14:textFill>
                    </w:rPr>
                    <w:t>lt 1</w:t>
                  </w:r>
                </w:p>
              </w:tc>
              <w:tc>
                <w:tcPr>
                  <w:tcW w:w="0" w:type="auto"/>
                </w:tcPr>
                <w:p>
                  <w:pPr>
                    <w:overflowPunct w:val="0"/>
                    <w:autoSpaceDE w:val="0"/>
                    <w:autoSpaceDN w:val="0"/>
                    <w:adjustRightInd w:val="0"/>
                    <w:spacing w:after="120"/>
                    <w:jc w:val="center"/>
                    <w:textAlignment w:val="baseline"/>
                    <w:rPr>
                      <w:color w:val="000000" w:themeColor="text1"/>
                      <w:sz w:val="20"/>
                      <w:szCs w:val="20"/>
                      <w:lang w:eastAsia="zh-CN"/>
                      <w14:textFill>
                        <w14:solidFill>
                          <w14:schemeClr w14:val="tx1"/>
                        </w14:solidFill>
                      </w14:textFill>
                    </w:rPr>
                  </w:pPr>
                  <w:r>
                    <w:rPr>
                      <w:rFonts w:eastAsia="宋体"/>
                      <w:color w:val="000000" w:themeColor="text1"/>
                      <w:sz w:val="20"/>
                      <w:szCs w:val="20"/>
                      <w14:textFill>
                        <w14:solidFill>
                          <w14:schemeClr w14:val="tx1"/>
                        </w14:solidFill>
                      </w14:textFill>
                    </w:rPr>
                    <w:object>
                      <v:shape id="_x0000_i1030" o:spt="75" type="#_x0000_t75" style="height:71.55pt;width:257.15pt;" o:ole="t" filled="f" o:preferrelative="t" stroked="f" coordsize="21600,21600">
                        <v:path/>
                        <v:fill on="f" focussize="0,0"/>
                        <v:stroke on="f" joinstyle="miter"/>
                        <v:imagedata r:id="rId28" o:title=""/>
                        <o:lock v:ext="edit" aspectratio="t"/>
                        <w10:wrap type="none"/>
                        <w10:anchorlock/>
                      </v:shape>
                      <o:OLEObject Type="Embed" ProgID="Visio.Drawing.15" ShapeID="_x0000_i1030" DrawAspect="Content" ObjectID="_1468075730" r:id="rId27">
                        <o:LockedField>false</o:LockedField>
                      </o:OLEObject>
                    </w:objec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jc w:val="center"/>
              </w:trPr>
              <w:tc>
                <w:tcPr>
                  <w:tcW w:w="0" w:type="auto"/>
                  <w:vAlign w:val="center"/>
                </w:tcPr>
                <w:p>
                  <w:pPr>
                    <w:overflowPunct w:val="0"/>
                    <w:autoSpaceDE w:val="0"/>
                    <w:autoSpaceDN w:val="0"/>
                    <w:adjustRightInd w:val="0"/>
                    <w:spacing w:after="120"/>
                    <w:jc w:val="center"/>
                    <w:textAlignment w:val="baseline"/>
                    <w:rPr>
                      <w:rFonts w:eastAsiaTheme="minorEastAsia"/>
                      <w:color w:val="000000" w:themeColor="text1"/>
                      <w:sz w:val="20"/>
                      <w:szCs w:val="20"/>
                      <w:lang w:eastAsia="zh-CN"/>
                      <w14:textFill>
                        <w14:solidFill>
                          <w14:schemeClr w14:val="tx1"/>
                        </w14:solidFill>
                      </w14:textFill>
                    </w:rPr>
                  </w:pPr>
                  <w:r>
                    <w:rPr>
                      <w:rFonts w:hint="eastAsia" w:eastAsiaTheme="minorEastAsia"/>
                      <w:color w:val="000000" w:themeColor="text1"/>
                      <w:sz w:val="20"/>
                      <w:szCs w:val="20"/>
                      <w:lang w:eastAsia="zh-CN"/>
                      <w14:textFill>
                        <w14:solidFill>
                          <w14:schemeClr w14:val="tx1"/>
                        </w14:solidFill>
                      </w14:textFill>
                    </w:rPr>
                    <w:t>A</w:t>
                  </w:r>
                  <w:r>
                    <w:rPr>
                      <w:rFonts w:eastAsiaTheme="minorEastAsia"/>
                      <w:color w:val="000000" w:themeColor="text1"/>
                      <w:sz w:val="20"/>
                      <w:szCs w:val="20"/>
                      <w:lang w:eastAsia="zh-CN"/>
                      <w14:textFill>
                        <w14:solidFill>
                          <w14:schemeClr w14:val="tx1"/>
                        </w14:solidFill>
                      </w14:textFill>
                    </w:rPr>
                    <w:t>lt 2</w:t>
                  </w:r>
                </w:p>
              </w:tc>
              <w:tc>
                <w:tcPr>
                  <w:tcW w:w="0" w:type="auto"/>
                </w:tcPr>
                <w:p>
                  <w:pPr>
                    <w:overflowPunct w:val="0"/>
                    <w:autoSpaceDE w:val="0"/>
                    <w:autoSpaceDN w:val="0"/>
                    <w:adjustRightInd w:val="0"/>
                    <w:spacing w:after="120"/>
                    <w:jc w:val="center"/>
                    <w:textAlignment w:val="baseline"/>
                    <w:rPr>
                      <w:color w:val="000000" w:themeColor="text1"/>
                      <w:sz w:val="20"/>
                      <w:szCs w:val="20"/>
                      <w:lang w:eastAsia="zh-CN"/>
                      <w14:textFill>
                        <w14:solidFill>
                          <w14:schemeClr w14:val="tx1"/>
                        </w14:solidFill>
                      </w14:textFill>
                    </w:rPr>
                  </w:pPr>
                  <w:r>
                    <w:rPr>
                      <w:rFonts w:eastAsia="宋体"/>
                      <w:color w:val="000000" w:themeColor="text1"/>
                      <w:sz w:val="20"/>
                      <w:szCs w:val="20"/>
                      <w14:textFill>
                        <w14:solidFill>
                          <w14:schemeClr w14:val="tx1"/>
                        </w14:solidFill>
                      </w14:textFill>
                    </w:rPr>
                    <w:object>
                      <v:shape id="_x0000_i1031" o:spt="75" type="#_x0000_t75" style="height:71.55pt;width:297.45pt;" o:ole="t" filled="f" o:preferrelative="t" stroked="f" coordsize="21600,21600">
                        <v:path/>
                        <v:fill on="f" focussize="0,0"/>
                        <v:stroke on="f" joinstyle="miter"/>
                        <v:imagedata r:id="rId30" o:title=""/>
                        <o:lock v:ext="edit" aspectratio="t"/>
                        <w10:wrap type="none"/>
                        <w10:anchorlock/>
                      </v:shape>
                      <o:OLEObject Type="Embed" ProgID="Visio.Drawing.15" ShapeID="_x0000_i1031" DrawAspect="Content" ObjectID="_1468075731" r:id="rId29">
                        <o:LockedField>false</o:LockedField>
                      </o:OLEObject>
                    </w:object>
                  </w:r>
                </w:p>
              </w:tc>
            </w:tr>
          </w:tbl>
          <w:p>
            <w:pPr>
              <w:overflowPunct w:val="0"/>
              <w:autoSpaceDE w:val="0"/>
              <w:autoSpaceDN w:val="0"/>
              <w:adjustRightInd w:val="0"/>
              <w:spacing w:after="120"/>
              <w:jc w:val="both"/>
              <w:textAlignment w:val="baseline"/>
              <w:rPr>
                <w:color w:val="000000" w:themeColor="text1"/>
                <w:sz w:val="20"/>
                <w:szCs w:val="20"/>
                <w:lang w:eastAsia="zh-CN"/>
                <w14:textFill>
                  <w14:solidFill>
                    <w14:schemeClr w14:val="tx1"/>
                  </w14:solidFill>
                </w14:textFill>
              </w:rPr>
            </w:pPr>
          </w:p>
          <w:p>
            <w:pPr>
              <w:pStyle w:val="34"/>
              <w:numPr>
                <w:ilvl w:val="0"/>
                <w:numId w:val="10"/>
              </w:numPr>
              <w:overflowPunct/>
              <w:autoSpaceDE/>
              <w:autoSpaceDN/>
              <w:adjustRightInd/>
              <w:spacing w:after="120"/>
              <w:ind w:left="72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WF</w:t>
            </w:r>
          </w:p>
          <w:p>
            <w:pPr>
              <w:pStyle w:val="34"/>
              <w:numPr>
                <w:ilvl w:val="1"/>
                <w:numId w:val="10"/>
              </w:numPr>
              <w:overflowPunct/>
              <w:autoSpaceDE/>
              <w:autoSpaceDN/>
              <w:adjustRightInd/>
              <w:spacing w:after="120"/>
              <w:ind w:left="144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 ACLR and SEM should be applicable from the edge of extended UE CBW.</w:t>
            </w:r>
          </w:p>
          <w:p>
            <w:pPr>
              <w:pStyle w:val="34"/>
              <w:numPr>
                <w:ilvl w:val="2"/>
                <w:numId w:val="10"/>
              </w:numPr>
              <w:overflowPunct/>
              <w:autoSpaceDE/>
              <w:autoSpaceDN/>
              <w:adjustRightInd/>
              <w:spacing w:after="120"/>
              <w:ind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FFS the following alternatives</w:t>
            </w:r>
          </w:p>
          <w:p>
            <w:pPr>
              <w:pStyle w:val="34"/>
              <w:numPr>
                <w:ilvl w:val="3"/>
                <w:numId w:val="10"/>
              </w:numPr>
              <w:overflowPunct/>
              <w:autoSpaceDE/>
              <w:autoSpaceDN/>
              <w:adjustRightIn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Alt 1: The OOBE requirements are based on UE CBW</w:t>
            </w:r>
          </w:p>
          <w:p>
            <w:pPr>
              <w:pStyle w:val="34"/>
              <w:numPr>
                <w:ilvl w:val="3"/>
                <w:numId w:val="10"/>
              </w:numPr>
              <w:overflowPunct/>
              <w:autoSpaceDE/>
              <w:autoSpaceDN/>
              <w:adjustRightIn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Alt 2: The OOBE requirements are based on extended UE CBW</w:t>
            </w:r>
          </w:p>
          <w:p>
            <w:pPr>
              <w:overflowPunct w:val="0"/>
              <w:autoSpaceDE w:val="0"/>
              <w:autoSpaceDN w:val="0"/>
              <w:adjustRightInd w:val="0"/>
              <w:spacing w:after="120"/>
              <w:textAlignment w:val="baseline"/>
              <w:rPr>
                <w:color w:val="000000" w:themeColor="text1"/>
                <w:sz w:val="20"/>
                <w:szCs w:val="20"/>
                <w:lang w:eastAsia="zh-CN"/>
                <w14:textFill>
                  <w14:solidFill>
                    <w14:schemeClr w14:val="tx1"/>
                  </w14:solidFill>
                </w14:textFill>
              </w:rPr>
            </w:pPr>
          </w:p>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color w:val="000000" w:themeColor="text1"/>
                <w:sz w:val="20"/>
                <w:szCs w:val="20"/>
                <w:u w:val="single"/>
                <w:lang w:val="en-US" w:eastAsia="ko-KR"/>
                <w14:textFill>
                  <w14:solidFill>
                    <w14:schemeClr w14:val="tx1"/>
                  </w14:solidFill>
                </w14:textFill>
              </w:rPr>
            </w:pPr>
            <w:r>
              <w:rPr>
                <w:rFonts w:ascii="Times New Roman" w:hAnsi="Times New Roman"/>
                <w:b/>
                <w:color w:val="000000" w:themeColor="text1"/>
                <w:sz w:val="20"/>
                <w:szCs w:val="20"/>
                <w:u w:val="single"/>
                <w:lang w:val="en-US" w:eastAsia="ko-KR"/>
                <w14:textFill>
                  <w14:solidFill>
                    <w14:schemeClr w14:val="tx1"/>
                  </w14:solidFill>
                </w14:textFill>
              </w:rPr>
              <w:t>Issue 1-2-4: Boundary to apply SE</w:t>
            </w:r>
          </w:p>
          <w:p>
            <w:pPr>
              <w:pStyle w:val="34"/>
              <w:numPr>
                <w:ilvl w:val="0"/>
                <w:numId w:val="10"/>
              </w:numPr>
              <w:overflowPunct/>
              <w:autoSpaceDE/>
              <w:autoSpaceDN/>
              <w:adjustRightInd/>
              <w:spacing w:before="120" w:beforeLines="50" w:after="0"/>
              <w:ind w:left="714" w:hanging="357" w:firstLineChars="0"/>
              <w:textAlignment w:val="auto"/>
              <w:rPr>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Proposals </w:t>
            </w:r>
          </w:p>
          <w:p>
            <w:pPr>
              <w:pStyle w:val="34"/>
              <w:numPr>
                <w:ilvl w:val="1"/>
                <w:numId w:val="10"/>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Proposal 1: The application range of SE should be altered with the shifting of the edge of the UE CBW. (vivo, LGE)</w:t>
            </w:r>
          </w:p>
          <w:p>
            <w:pPr>
              <w:pStyle w:val="34"/>
              <w:numPr>
                <w:ilvl w:val="1"/>
                <w:numId w:val="10"/>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Proposal 2: Boundary between NR out of band and general spurious emission domain on power domain enhancements for single carrier context is defined as Extended UE CBW + 5 MHz. (Nokia)</w:t>
            </w:r>
          </w:p>
          <w:p>
            <w:pPr>
              <w:pStyle w:val="34"/>
              <w:numPr>
                <w:ilvl w:val="1"/>
                <w:numId w:val="10"/>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Proposal 3: The SE limits apply for the frequency ranges that are more than UE CBW+5MHz from the edge of the extended UE CBW (Qualcomm, OPPO)</w:t>
            </w:r>
          </w:p>
          <w:p>
            <w:pPr>
              <w:overflowPunct w:val="0"/>
              <w:autoSpaceDE w:val="0"/>
              <w:autoSpaceDN w:val="0"/>
              <w:adjustRightInd w:val="0"/>
              <w:spacing w:after="120"/>
              <w:jc w:val="both"/>
              <w:textAlignment w:val="baseline"/>
              <w:rPr>
                <w:color w:val="000000" w:themeColor="text1"/>
                <w:sz w:val="20"/>
                <w:szCs w:val="20"/>
                <w:lang w:eastAsia="zh-CN"/>
                <w14:textFill>
                  <w14:solidFill>
                    <w14:schemeClr w14:val="tx1"/>
                  </w14:solidFill>
                </w14:textFill>
              </w:rPr>
            </w:pPr>
          </w:p>
          <w:p>
            <w:pPr>
              <w:pStyle w:val="34"/>
              <w:numPr>
                <w:ilvl w:val="0"/>
                <w:numId w:val="10"/>
              </w:numPr>
              <w:overflowPunct/>
              <w:autoSpaceDE/>
              <w:autoSpaceDN/>
              <w:adjustRightInd/>
              <w:spacing w:after="120"/>
              <w:ind w:left="72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WF</w:t>
            </w:r>
          </w:p>
          <w:p>
            <w:pPr>
              <w:pStyle w:val="34"/>
              <w:numPr>
                <w:ilvl w:val="1"/>
                <w:numId w:val="10"/>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FFS with consideration of </w:t>
            </w:r>
            <w:r>
              <w:rPr>
                <w:b/>
                <w:color w:val="000000" w:themeColor="text1"/>
                <w:sz w:val="20"/>
                <w:szCs w:val="20"/>
                <w:lang w:val="en-US" w:eastAsia="ko-KR"/>
                <w14:textFill>
                  <w14:solidFill>
                    <w14:schemeClr w14:val="tx1"/>
                  </w14:solidFill>
                </w14:textFill>
              </w:rPr>
              <w:t>Issue 1-2-3</w:t>
            </w:r>
          </w:p>
          <w:p>
            <w:pPr>
              <w:pStyle w:val="34"/>
              <w:numPr>
                <w:ilvl w:val="0"/>
                <w:numId w:val="0"/>
              </w:numPr>
              <w:overflowPunct/>
              <w:autoSpaceDE/>
              <w:autoSpaceDN/>
              <w:adjustRightInd/>
              <w:spacing w:after="120"/>
              <w:textAlignment w:val="auto"/>
              <w:rPr>
                <w:rFonts w:hint="eastAsia" w:cs="Times New Roman"/>
                <w:sz w:val="20"/>
                <w:szCs w:val="20"/>
                <w:vertAlign w:val="baseline"/>
                <w:lang w:val="en-US" w:eastAsia="zh-CN"/>
              </w:rPr>
            </w:pPr>
          </w:p>
        </w:tc>
      </w:tr>
    </w:tbl>
    <w:p>
      <w:pPr>
        <w:rPr>
          <w:rFonts w:hint="default" w:cs="Times New Roman"/>
          <w:kern w:val="2"/>
          <w:sz w:val="20"/>
          <w:szCs w:val="20"/>
          <w:lang w:val="en-US" w:eastAsia="zh-CN" w:bidi="ar-SA"/>
        </w:rPr>
      </w:pPr>
      <w:r>
        <w:rPr>
          <w:rFonts w:hint="eastAsia" w:cs="Times New Roman"/>
          <w:kern w:val="2"/>
          <w:sz w:val="20"/>
          <w:szCs w:val="20"/>
          <w:lang w:val="en-US" w:eastAsia="zh-CN" w:bidi="ar-SA"/>
        </w:rPr>
        <w:t>Compare with Alt 1 and Alt 2, Alt 2 means some relaxation on the level of SEM limit more than the application range of SEM, which is excluded in before discussion. From the simulation in [3], it can be observed that applying MPR of inner RB allocation to all RB allocations in UE CBW can still meet OOBE requirement when the OOBE requirements are based on UE CBW. Hence, we propose that ACLR and SEM should be applicable from the edge of extended UE CBW and the OOBE requirements are based on UE CBW. For boundary to apply SE, OOB boundary F</w:t>
      </w:r>
      <w:r>
        <w:rPr>
          <w:rFonts w:hint="eastAsia" w:cs="Times New Roman"/>
          <w:kern w:val="2"/>
          <w:sz w:val="20"/>
          <w:szCs w:val="20"/>
          <w:vertAlign w:val="subscript"/>
          <w:lang w:val="en-US" w:eastAsia="zh-CN" w:bidi="ar-SA"/>
        </w:rPr>
        <w:t>OOB</w:t>
      </w:r>
      <w:r>
        <w:rPr>
          <w:rFonts w:hint="eastAsia" w:cs="Times New Roman"/>
          <w:kern w:val="2"/>
          <w:sz w:val="20"/>
          <w:szCs w:val="20"/>
          <w:lang w:val="en-US" w:eastAsia="zh-CN" w:bidi="ar-SA"/>
        </w:rPr>
        <w:t xml:space="preserve"> should be the extended UE CBW + 5MHz.</w:t>
      </w:r>
    </w:p>
    <w:p>
      <w:pPr>
        <w:rPr>
          <w:rFonts w:hint="eastAsia"/>
          <w:b/>
          <w:bCs/>
          <w:i w:val="0"/>
          <w:iCs w:val="0"/>
          <w:sz w:val="20"/>
          <w:szCs w:val="20"/>
          <w:lang w:val="en-US" w:eastAsia="zh-CN"/>
        </w:rPr>
      </w:pPr>
      <w:r>
        <w:rPr>
          <w:rFonts w:hint="eastAsia"/>
          <w:b/>
          <w:bCs/>
          <w:i w:val="0"/>
          <w:iCs w:val="0"/>
          <w:sz w:val="20"/>
          <w:szCs w:val="20"/>
          <w:lang w:val="en-US" w:eastAsia="zh-CN"/>
        </w:rPr>
        <w:t>Proposal 5: ACLR and SEM should be applicable from the edge of extended UE CBW</w:t>
      </w:r>
    </w:p>
    <w:p>
      <w:pPr>
        <w:pStyle w:val="34"/>
        <w:keepNext w:val="0"/>
        <w:keepLines w:val="0"/>
        <w:pageBreakBefore w:val="0"/>
        <w:widowControl/>
        <w:numPr>
          <w:ilvl w:val="2"/>
          <w:numId w:val="10"/>
        </w:numPr>
        <w:kinsoku/>
        <w:wordWrap/>
        <w:overflowPunct/>
        <w:topLinePunct w:val="0"/>
        <w:autoSpaceDE/>
        <w:autoSpaceDN/>
        <w:bidi w:val="0"/>
        <w:adjustRightInd/>
        <w:snapToGrid/>
        <w:spacing w:after="120"/>
        <w:ind w:left="363" w:hanging="363" w:firstLineChars="0"/>
        <w:textAlignment w:val="auto"/>
        <w:rPr>
          <w:rFonts w:hint="default"/>
          <w:b/>
          <w:bCs/>
          <w:i w:val="0"/>
          <w:iCs w:val="0"/>
          <w:sz w:val="20"/>
          <w:szCs w:val="20"/>
          <w:lang w:val="en-US" w:eastAsia="zh-CN"/>
        </w:rPr>
      </w:pPr>
      <w:r>
        <w:rPr>
          <w:rFonts w:hint="eastAsia"/>
          <w:b/>
          <w:bCs/>
          <w:i w:val="0"/>
          <w:iCs w:val="0"/>
          <w:sz w:val="20"/>
          <w:szCs w:val="20"/>
          <w:lang w:val="en-US" w:eastAsia="zh-CN"/>
        </w:rPr>
        <w:t>The OOBE requirements are based on UE CBW</w:t>
      </w:r>
    </w:p>
    <w:p>
      <w:pPr>
        <w:pStyle w:val="34"/>
        <w:keepNext w:val="0"/>
        <w:keepLines w:val="0"/>
        <w:pageBreakBefore w:val="0"/>
        <w:widowControl/>
        <w:numPr>
          <w:ilvl w:val="2"/>
          <w:numId w:val="10"/>
        </w:numPr>
        <w:kinsoku/>
        <w:wordWrap/>
        <w:overflowPunct/>
        <w:topLinePunct w:val="0"/>
        <w:autoSpaceDE/>
        <w:autoSpaceDN/>
        <w:bidi w:val="0"/>
        <w:adjustRightInd/>
        <w:snapToGrid/>
        <w:spacing w:after="120"/>
        <w:ind w:left="363" w:hanging="363" w:firstLineChars="0"/>
        <w:textAlignment w:val="auto"/>
        <w:rPr>
          <w:rFonts w:hint="default"/>
          <w:b/>
          <w:bCs/>
          <w:i w:val="0"/>
          <w:iCs w:val="0"/>
          <w:sz w:val="20"/>
          <w:szCs w:val="20"/>
          <w:lang w:val="en-US" w:eastAsia="zh-CN"/>
        </w:rPr>
      </w:pPr>
      <w:r>
        <w:rPr>
          <w:rFonts w:hint="default"/>
          <w:b/>
          <w:bCs/>
          <w:i w:val="0"/>
          <w:iCs w:val="0"/>
          <w:sz w:val="20"/>
          <w:szCs w:val="20"/>
          <w:lang w:val="en-US" w:eastAsia="zh-CN"/>
        </w:rPr>
        <w:t>OOB boundary F</w:t>
      </w:r>
      <w:r>
        <w:rPr>
          <w:rFonts w:hint="default"/>
          <w:b/>
          <w:bCs/>
          <w:i w:val="0"/>
          <w:iCs w:val="0"/>
          <w:sz w:val="20"/>
          <w:szCs w:val="20"/>
          <w:vertAlign w:val="subscript"/>
          <w:lang w:val="en-US" w:eastAsia="zh-CN"/>
        </w:rPr>
        <w:t>OOB</w:t>
      </w:r>
      <w:r>
        <w:rPr>
          <w:rFonts w:hint="default"/>
          <w:b/>
          <w:bCs/>
          <w:i w:val="0"/>
          <w:iCs w:val="0"/>
          <w:sz w:val="20"/>
          <w:szCs w:val="20"/>
          <w:lang w:val="en-US" w:eastAsia="zh-CN"/>
        </w:rPr>
        <w:t xml:space="preserve"> </w:t>
      </w:r>
      <w:r>
        <w:rPr>
          <w:rFonts w:hint="eastAsia"/>
          <w:b/>
          <w:bCs/>
          <w:i w:val="0"/>
          <w:iCs w:val="0"/>
          <w:sz w:val="20"/>
          <w:szCs w:val="20"/>
          <w:lang w:val="en-US" w:eastAsia="zh-CN"/>
        </w:rPr>
        <w:t xml:space="preserve">to apply SE </w:t>
      </w:r>
      <w:r>
        <w:rPr>
          <w:rFonts w:hint="default"/>
          <w:b/>
          <w:bCs/>
          <w:i w:val="0"/>
          <w:iCs w:val="0"/>
          <w:sz w:val="20"/>
          <w:szCs w:val="20"/>
          <w:lang w:val="en-US" w:eastAsia="zh-CN"/>
        </w:rPr>
        <w:t>should be the extended UE CBW + 5MHz.</w:t>
      </w:r>
    </w:p>
    <w:p>
      <w:pPr>
        <w:rPr>
          <w:rFonts w:hint="eastAsia"/>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power boosting and/or MPR reduction </w:t>
      </w:r>
      <w:r>
        <w:rPr>
          <w:rFonts w:hint="eastAsia" w:ascii="Times New Roman" w:hAnsi="Times New Roman" w:eastAsia="宋体" w:cs="Times New Roman"/>
          <w:b w:val="0"/>
          <w:bCs w:val="0"/>
          <w:kern w:val="0"/>
          <w:sz w:val="20"/>
          <w:szCs w:val="20"/>
          <w:highlight w:val="none"/>
          <w:lang w:val="en-US" w:eastAsia="zh-CN" w:bidi="ar-SA"/>
        </w:rPr>
        <w:t>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default"/>
          <w:color w:val="000000" w:themeColor="text1"/>
          <w:sz w:val="20"/>
          <w:szCs w:val="20"/>
          <w:lang w:val="en-US" w:eastAsia="zh-CN"/>
          <w14:textFill>
            <w14:solidFill>
              <w14:schemeClr w14:val="tx1"/>
            </w14:solidFill>
          </w14:textFill>
        </w:rPr>
      </w:pPr>
      <w:r>
        <w:rPr>
          <w:rFonts w:hint="eastAsia"/>
          <w:b/>
          <w:bCs/>
          <w:i w:val="0"/>
          <w:iCs w:val="0"/>
          <w:sz w:val="20"/>
          <w:szCs w:val="20"/>
          <w:lang w:val="en-US" w:eastAsia="zh-CN"/>
        </w:rPr>
        <w:t xml:space="preserve">Proposal 1: </w:t>
      </w:r>
    </w:p>
    <w:p>
      <w:pPr>
        <w:keepNext w:val="0"/>
        <w:keepLines w:val="0"/>
        <w:pageBreakBefore w:val="0"/>
        <w:widowControl w:val="0"/>
        <w:numPr>
          <w:ilvl w:val="0"/>
          <w:numId w:val="11"/>
        </w:numPr>
        <w:kinsoku/>
        <w:wordWrap/>
        <w:overflowPunct/>
        <w:topLinePunct w:val="0"/>
        <w:autoSpaceDE/>
        <w:autoSpaceDN/>
        <w:bidi w:val="0"/>
        <w:adjustRightInd/>
        <w:snapToGrid/>
        <w:spacing w:line="260" w:lineRule="auto"/>
        <w:ind w:left="420" w:leftChars="0" w:hanging="420" w:firstLineChars="0"/>
        <w:textAlignment w:val="auto"/>
        <w:rPr>
          <w:rFonts w:hint="default"/>
          <w:b/>
          <w:bCs/>
          <w:color w:val="000000" w:themeColor="text1"/>
          <w:sz w:val="20"/>
          <w:szCs w:val="20"/>
          <w:lang w:val="en-US" w:eastAsia="zh-CN"/>
          <w14:textFill>
            <w14:solidFill>
              <w14:schemeClr w14:val="tx1"/>
            </w14:solidFill>
          </w14:textFill>
        </w:rPr>
      </w:pPr>
      <w:r>
        <w:rPr>
          <w:rFonts w:hint="eastAsia"/>
          <w:b/>
          <w:bCs/>
          <w:color w:val="000000" w:themeColor="text1"/>
          <w:sz w:val="20"/>
          <w:szCs w:val="20"/>
          <w:lang w:val="en-US" w:eastAsia="zh-CN"/>
          <w14:textFill>
            <w14:solidFill>
              <w14:schemeClr w14:val="tx1"/>
            </w14:solidFill>
          </w14:textFill>
        </w:rPr>
        <w:t>For single carrier operation from NW perspective, if the minimum offset between UE CBW and BS CBW is larger than or equal to 1/2 UE CBW, the extended UE CBW can be the twice of UE CBW, which can convert full RB allocation in UE CBW to new inner RB allocation. If not, the extended UE CBW can be replaced by the BS CBW, which can convert partial outer RB allocation in UE CBW to inner RB allocation with an extended UE CBW.</w:t>
      </w:r>
    </w:p>
    <w:p>
      <w:pPr>
        <w:keepNext w:val="0"/>
        <w:keepLines w:val="0"/>
        <w:pageBreakBefore w:val="0"/>
        <w:widowControl w:val="0"/>
        <w:numPr>
          <w:ilvl w:val="0"/>
          <w:numId w:val="11"/>
        </w:numPr>
        <w:kinsoku/>
        <w:wordWrap/>
        <w:overflowPunct/>
        <w:topLinePunct w:val="0"/>
        <w:autoSpaceDE/>
        <w:autoSpaceDN/>
        <w:bidi w:val="0"/>
        <w:adjustRightInd/>
        <w:snapToGrid/>
        <w:spacing w:line="260" w:lineRule="auto"/>
        <w:ind w:left="420" w:leftChars="0" w:hanging="420" w:firstLineChars="0"/>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b/>
          <w:bCs/>
          <w:color w:val="000000" w:themeColor="text1"/>
          <w:sz w:val="20"/>
          <w:szCs w:val="20"/>
          <w:lang w:val="en-US" w:eastAsia="zh-CN"/>
          <w14:textFill>
            <w14:solidFill>
              <w14:schemeClr w14:val="tx1"/>
            </w14:solidFill>
          </w14:textFill>
        </w:rPr>
        <w:t>For DL-only intra-band contiguous CA case, when there is no adjacent in-band/out-of-band co-existence issue, and when the minimum offset between UE CBW and aggregated BS CBW is greater than 1/2 UE CBW, the extension ratio of extended UE CBW to UE CBW is two, which can convert full RB allocation in UE CBW to new inner RB allocation. If not, the extended UE CBW can be replaced by the aggregated BS CBW, which can convert partial outer RB allocation in UE CBW to inner RB allocation with an extended UE CBW.</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eastAsia"/>
          <w:b/>
          <w:bCs/>
          <w:sz w:val="20"/>
          <w:szCs w:val="18"/>
          <w:vertAlign w:val="baseline"/>
          <w:lang w:val="en-US" w:eastAsia="zh-CN"/>
        </w:rPr>
      </w:pPr>
      <w:r>
        <w:rPr>
          <w:rFonts w:hint="eastAsia"/>
          <w:b/>
          <w:bCs/>
          <w:i w:val="0"/>
          <w:iCs w:val="0"/>
          <w:sz w:val="20"/>
          <w:szCs w:val="20"/>
          <w:lang w:val="en-US" w:eastAsia="zh-CN"/>
        </w:rPr>
        <w:t>Proposal 2: T</w:t>
      </w:r>
      <w:r>
        <w:rPr>
          <w:rFonts w:hint="eastAsia"/>
          <w:b/>
          <w:bCs/>
          <w:sz w:val="20"/>
          <w:szCs w:val="18"/>
          <w:vertAlign w:val="baseline"/>
          <w:lang w:val="en-US" w:eastAsia="zh-CN"/>
        </w:rPr>
        <w:t>he new inner RB allocation in UE CBW can be defined based on the extended UE CBW as follows:</w:t>
      </w:r>
    </w:p>
    <w:p>
      <w:pPr>
        <w:pStyle w:val="50"/>
        <w:keepNext w:val="0"/>
        <w:keepLines/>
        <w:pageBreakBefore w:val="0"/>
        <w:widowControl/>
        <w:kinsoku/>
        <w:wordWrap/>
        <w:overflowPunct/>
        <w:topLinePunct w:val="0"/>
        <w:autoSpaceDE/>
        <w:autoSpaceDN/>
        <w:bidi w:val="0"/>
        <w:adjustRightInd/>
        <w:snapToGrid/>
        <w:spacing w:line="260" w:lineRule="auto"/>
        <w:ind w:left="0" w:firstLine="0" w:firstLineChars="0"/>
        <w:jc w:val="both"/>
        <w:textAlignment w:val="auto"/>
        <w:rPr>
          <w:rFonts w:hint="eastAsia" w:eastAsia="宋体"/>
          <w:b/>
          <w:bCs/>
          <w:sz w:val="20"/>
          <w:szCs w:val="18"/>
          <w:lang w:val="en-US" w:eastAsia="zh-CN"/>
        </w:rPr>
      </w:pPr>
      <w:r>
        <w:rPr>
          <w:b/>
          <w:bCs/>
          <w:sz w:val="20"/>
          <w:szCs w:val="18"/>
        </w:rPr>
        <w:t>N</w:t>
      </w:r>
      <w:r>
        <w:rPr>
          <w:b/>
          <w:bCs/>
          <w:sz w:val="20"/>
          <w:szCs w:val="18"/>
          <w:vertAlign w:val="subscript"/>
        </w:rPr>
        <w:t>RB</w:t>
      </w:r>
      <w:r>
        <w:rPr>
          <w:rFonts w:hint="eastAsia"/>
          <w:b/>
          <w:bCs/>
          <w:sz w:val="20"/>
          <w:szCs w:val="18"/>
          <w:vertAlign w:val="subscript"/>
          <w:lang w:val="en-US" w:eastAsia="zh-CN"/>
        </w:rPr>
        <w:t>,extended</w:t>
      </w:r>
      <w:r>
        <w:rPr>
          <w:b/>
          <w:bCs/>
          <w:sz w:val="20"/>
          <w:szCs w:val="18"/>
          <w:vertAlign w:val="subscript"/>
        </w:rPr>
        <w:t xml:space="preserve"> </w:t>
      </w:r>
      <w:r>
        <w:rPr>
          <w:rFonts w:hint="eastAsia"/>
          <w:b/>
          <w:bCs/>
          <w:sz w:val="20"/>
          <w:szCs w:val="18"/>
          <w:lang w:val="en-US" w:eastAsia="zh-CN"/>
        </w:rPr>
        <w:t>and N</w:t>
      </w:r>
      <w:r>
        <w:rPr>
          <w:rFonts w:hint="eastAsia"/>
          <w:b/>
          <w:bCs/>
          <w:sz w:val="20"/>
          <w:szCs w:val="18"/>
          <w:vertAlign w:val="subscript"/>
          <w:lang w:val="en-US" w:eastAsia="zh-CN"/>
        </w:rPr>
        <w:t>RB</w:t>
      </w:r>
      <w:r>
        <w:rPr>
          <w:rFonts w:hint="eastAsia"/>
          <w:b/>
          <w:bCs/>
          <w:sz w:val="20"/>
          <w:szCs w:val="18"/>
          <w:lang w:val="en-US" w:eastAsia="zh-CN"/>
        </w:rPr>
        <w:t xml:space="preserve"> are</w:t>
      </w:r>
      <w:r>
        <w:rPr>
          <w:b/>
          <w:bCs/>
          <w:sz w:val="20"/>
          <w:szCs w:val="18"/>
        </w:rPr>
        <w:t xml:space="preserve"> the maximum </w:t>
      </w:r>
      <w:r>
        <w:rPr>
          <w:rFonts w:hint="eastAsia"/>
          <w:b/>
          <w:bCs/>
          <w:sz w:val="20"/>
          <w:szCs w:val="18"/>
          <w:lang w:val="en-US" w:eastAsia="zh-CN"/>
        </w:rPr>
        <w:t>transmission bandwidth configuration of the extended channel bandwidth and configured UE channel bandwidth respectively</w:t>
      </w:r>
      <w:r>
        <w:rPr>
          <w:b/>
          <w:bCs/>
          <w:sz w:val="20"/>
          <w:szCs w:val="18"/>
        </w:rPr>
        <w:t xml:space="preserve">. </w:t>
      </w:r>
    </w:p>
    <w:p>
      <w:pPr>
        <w:pStyle w:val="50"/>
        <w:jc w:val="center"/>
        <w:rPr>
          <w:b/>
          <w:bCs/>
          <w:sz w:val="20"/>
          <w:szCs w:val="18"/>
        </w:rPr>
      </w:pPr>
      <w:r>
        <w:rPr>
          <w:b/>
          <w:bCs/>
          <w:sz w:val="20"/>
          <w:szCs w:val="18"/>
        </w:rPr>
        <w:t>RB</w:t>
      </w:r>
      <w:r>
        <w:rPr>
          <w:b/>
          <w:bCs/>
          <w:sz w:val="20"/>
          <w:szCs w:val="18"/>
          <w:vertAlign w:val="subscript"/>
        </w:rPr>
        <w:t>Start,Low</w:t>
      </w:r>
      <w:r>
        <w:rPr>
          <w:b/>
          <w:bCs/>
          <w:sz w:val="20"/>
          <w:szCs w:val="18"/>
        </w:rPr>
        <w:t xml:space="preserve"> = max(1, floor(L</w:t>
      </w:r>
      <w:r>
        <w:rPr>
          <w:b/>
          <w:bCs/>
          <w:sz w:val="20"/>
          <w:szCs w:val="18"/>
          <w:vertAlign w:val="subscript"/>
        </w:rPr>
        <w:t>CRB</w:t>
      </w:r>
      <w:r>
        <w:rPr>
          <w:b/>
          <w:bCs/>
          <w:sz w:val="20"/>
          <w:szCs w:val="18"/>
        </w:rPr>
        <w:t>/2))</w:t>
      </w:r>
    </w:p>
    <w:p>
      <w:pPr>
        <w:rPr>
          <w:b/>
          <w:bCs/>
          <w:sz w:val="20"/>
          <w:szCs w:val="18"/>
        </w:rPr>
      </w:pPr>
      <w:r>
        <w:rPr>
          <w:b/>
          <w:bCs/>
          <w:sz w:val="20"/>
          <w:szCs w:val="18"/>
        </w:rPr>
        <w:t>where max() indicates the largest value of all arguments and floor(x) is the greatest integer less than or equal to x.</w:t>
      </w:r>
    </w:p>
    <w:p>
      <w:pPr>
        <w:pStyle w:val="50"/>
        <w:jc w:val="center"/>
        <w:rPr>
          <w:b/>
          <w:bCs/>
          <w:sz w:val="20"/>
          <w:szCs w:val="18"/>
        </w:rPr>
      </w:pPr>
      <w:r>
        <w:rPr>
          <w:b/>
          <w:bCs/>
          <w:sz w:val="20"/>
          <w:szCs w:val="18"/>
        </w:rPr>
        <w:t>RB</w:t>
      </w:r>
      <w:r>
        <w:rPr>
          <w:b/>
          <w:bCs/>
          <w:sz w:val="20"/>
          <w:szCs w:val="18"/>
          <w:vertAlign w:val="subscript"/>
        </w:rPr>
        <w:t>Start,High</w:t>
      </w:r>
      <w:r>
        <w:rPr>
          <w:b/>
          <w:bCs/>
          <w:sz w:val="20"/>
          <w:szCs w:val="18"/>
        </w:rPr>
        <w:t xml:space="preserve"> = N</w:t>
      </w:r>
      <w:r>
        <w:rPr>
          <w:b/>
          <w:bCs/>
          <w:sz w:val="20"/>
          <w:szCs w:val="18"/>
          <w:vertAlign w:val="subscript"/>
        </w:rPr>
        <w:t>RB</w:t>
      </w:r>
      <w:r>
        <w:rPr>
          <w:rFonts w:hint="eastAsia"/>
          <w:b/>
          <w:bCs/>
          <w:sz w:val="20"/>
          <w:szCs w:val="18"/>
          <w:vertAlign w:val="subscript"/>
          <w:lang w:val="en-US" w:eastAsia="zh-CN"/>
        </w:rPr>
        <w:t>,extended</w:t>
      </w:r>
      <w:r>
        <w:rPr>
          <w:b/>
          <w:bCs/>
          <w:sz w:val="20"/>
          <w:szCs w:val="18"/>
        </w:rPr>
        <w:t xml:space="preserve"> – RB</w:t>
      </w:r>
      <w:r>
        <w:rPr>
          <w:b/>
          <w:bCs/>
          <w:sz w:val="20"/>
          <w:szCs w:val="18"/>
          <w:vertAlign w:val="subscript"/>
        </w:rPr>
        <w:t>Start,Low</w:t>
      </w:r>
      <w:r>
        <w:rPr>
          <w:b/>
          <w:bCs/>
          <w:sz w:val="20"/>
          <w:szCs w:val="18"/>
        </w:rPr>
        <w:t xml:space="preserve"> – L</w:t>
      </w:r>
      <w:r>
        <w:rPr>
          <w:b/>
          <w:bCs/>
          <w:sz w:val="20"/>
          <w:szCs w:val="18"/>
          <w:vertAlign w:val="subscript"/>
        </w:rPr>
        <w:t>CRB</w:t>
      </w:r>
    </w:p>
    <w:p>
      <w:pPr>
        <w:rPr>
          <w:b/>
          <w:bCs/>
          <w:sz w:val="20"/>
          <w:szCs w:val="18"/>
        </w:rPr>
      </w:pPr>
      <w:r>
        <w:rPr>
          <w:b/>
          <w:bCs/>
          <w:sz w:val="20"/>
          <w:szCs w:val="18"/>
        </w:rPr>
        <w:t>The RB allocation is an Inner RB allocation if the following conditions are met</w:t>
      </w:r>
    </w:p>
    <w:p>
      <w:pPr>
        <w:pStyle w:val="50"/>
        <w:jc w:val="center"/>
        <w:rPr>
          <w:rFonts w:hint="eastAsia"/>
          <w:b/>
          <w:bCs/>
          <w:sz w:val="20"/>
          <w:szCs w:val="18"/>
          <w:lang w:val="en-US" w:eastAsia="zh-CN"/>
        </w:rPr>
      </w:pPr>
      <w:r>
        <w:rPr>
          <w:b/>
          <w:bCs/>
          <w:sz w:val="20"/>
          <w:szCs w:val="18"/>
        </w:rPr>
        <w:t>RB</w:t>
      </w:r>
      <w:r>
        <w:rPr>
          <w:b/>
          <w:bCs/>
          <w:sz w:val="20"/>
          <w:szCs w:val="18"/>
          <w:vertAlign w:val="subscript"/>
        </w:rPr>
        <w:t xml:space="preserve">Start,Low  </w:t>
      </w:r>
      <w:r>
        <w:rPr>
          <w:b/>
          <w:bCs/>
          <w:sz w:val="20"/>
          <w:szCs w:val="18"/>
        </w:rPr>
        <w:t>≤  RB</w:t>
      </w:r>
      <w:r>
        <w:rPr>
          <w:b/>
          <w:bCs/>
          <w:sz w:val="20"/>
          <w:szCs w:val="18"/>
          <w:vertAlign w:val="subscript"/>
        </w:rPr>
        <w:t>Start</w:t>
      </w:r>
      <w:r>
        <w:rPr>
          <w:rFonts w:hint="eastAsia"/>
          <w:b/>
          <w:bCs/>
          <w:sz w:val="20"/>
          <w:szCs w:val="18"/>
          <w:vertAlign w:val="subscript"/>
          <w:lang w:val="en-US" w:eastAsia="zh-CN"/>
        </w:rPr>
        <w:t xml:space="preserve"> </w:t>
      </w:r>
      <w:r>
        <w:rPr>
          <w:b/>
          <w:bCs/>
          <w:sz w:val="20"/>
          <w:szCs w:val="18"/>
          <w:vertAlign w:val="subscript"/>
        </w:rPr>
        <w:t xml:space="preserve"> </w:t>
      </w:r>
      <w:r>
        <w:rPr>
          <w:b/>
          <w:bCs/>
          <w:sz w:val="20"/>
          <w:szCs w:val="18"/>
        </w:rPr>
        <w:t>≤  RB</w:t>
      </w:r>
      <w:r>
        <w:rPr>
          <w:b/>
          <w:bCs/>
          <w:sz w:val="20"/>
          <w:szCs w:val="18"/>
          <w:vertAlign w:val="subscript"/>
        </w:rPr>
        <w:t>Start,High</w:t>
      </w:r>
      <w:r>
        <w:rPr>
          <w:b/>
          <w:bCs/>
          <w:sz w:val="20"/>
          <w:szCs w:val="18"/>
        </w:rPr>
        <w:t>,</w:t>
      </w:r>
      <w:r>
        <w:rPr>
          <w:b/>
          <w:bCs/>
          <w:sz w:val="20"/>
          <w:szCs w:val="18"/>
          <w:vertAlign w:val="subscript"/>
        </w:rPr>
        <w:t xml:space="preserve"> </w:t>
      </w:r>
      <w:r>
        <w:rPr>
          <w:b/>
          <w:bCs/>
          <w:sz w:val="20"/>
          <w:szCs w:val="18"/>
        </w:rPr>
        <w:t>and</w:t>
      </w:r>
      <w:r>
        <w:rPr>
          <w:rFonts w:hint="eastAsia"/>
          <w:b/>
          <w:bCs/>
          <w:sz w:val="20"/>
          <w:szCs w:val="18"/>
          <w:lang w:val="en-US" w:eastAsia="zh-CN"/>
        </w:rPr>
        <w:t xml:space="preserve"> </w:t>
      </w:r>
    </w:p>
    <w:p>
      <w:pPr>
        <w:jc w:val="center"/>
        <w:rPr>
          <w:rFonts w:hint="eastAsia"/>
          <w:b/>
          <w:bCs/>
          <w:sz w:val="20"/>
          <w:szCs w:val="18"/>
          <w:vertAlign w:val="subscript"/>
          <w:lang w:val="en-US" w:eastAsia="zh-CN"/>
        </w:rPr>
      </w:pPr>
      <w:r>
        <w:rPr>
          <w:b/>
          <w:bCs/>
          <w:sz w:val="20"/>
          <w:szCs w:val="18"/>
        </w:rPr>
        <w:t>RB</w:t>
      </w:r>
      <w:r>
        <w:rPr>
          <w:rFonts w:hint="eastAsia"/>
          <w:b/>
          <w:bCs/>
          <w:sz w:val="20"/>
          <w:szCs w:val="18"/>
          <w:vertAlign w:val="subscript"/>
          <w:lang w:val="en-US" w:eastAsia="zh-CN"/>
        </w:rPr>
        <w:t>shift</w:t>
      </w:r>
      <w:r>
        <w:rPr>
          <w:b/>
          <w:bCs/>
          <w:sz w:val="20"/>
          <w:szCs w:val="18"/>
          <w:vertAlign w:val="subscript"/>
        </w:rPr>
        <w:t xml:space="preserve">  </w:t>
      </w:r>
      <w:r>
        <w:rPr>
          <w:b/>
          <w:bCs/>
          <w:sz w:val="20"/>
          <w:szCs w:val="18"/>
        </w:rPr>
        <w:t>≤  RB</w:t>
      </w:r>
      <w:r>
        <w:rPr>
          <w:b/>
          <w:bCs/>
          <w:sz w:val="20"/>
          <w:szCs w:val="18"/>
          <w:vertAlign w:val="subscript"/>
        </w:rPr>
        <w:t>Start</w:t>
      </w:r>
      <w:r>
        <w:rPr>
          <w:rFonts w:hint="eastAsia"/>
          <w:b/>
          <w:bCs/>
          <w:sz w:val="20"/>
          <w:szCs w:val="18"/>
          <w:vertAlign w:val="subscript"/>
          <w:lang w:val="en-US" w:eastAsia="zh-CN"/>
        </w:rPr>
        <w:t xml:space="preserve"> </w:t>
      </w:r>
      <w:r>
        <w:rPr>
          <w:b/>
          <w:bCs/>
          <w:sz w:val="20"/>
          <w:szCs w:val="18"/>
          <w:vertAlign w:val="subscript"/>
        </w:rPr>
        <w:t xml:space="preserve"> </w:t>
      </w:r>
      <w:r>
        <w:rPr>
          <w:b/>
          <w:bCs/>
          <w:sz w:val="20"/>
          <w:szCs w:val="18"/>
        </w:rPr>
        <w:t xml:space="preserve">≤  </w:t>
      </w:r>
      <w:r>
        <w:rPr>
          <w:rFonts w:hint="eastAsia"/>
          <w:b/>
          <w:bCs/>
          <w:sz w:val="20"/>
          <w:szCs w:val="18"/>
          <w:lang w:val="en-US" w:eastAsia="zh-CN"/>
        </w:rPr>
        <w:t>N</w:t>
      </w:r>
      <w:r>
        <w:rPr>
          <w:rFonts w:hint="eastAsia"/>
          <w:b/>
          <w:bCs/>
          <w:sz w:val="20"/>
          <w:szCs w:val="18"/>
          <w:vertAlign w:val="subscript"/>
          <w:lang w:val="en-US" w:eastAsia="zh-CN"/>
        </w:rPr>
        <w:t xml:space="preserve">RB </w:t>
      </w:r>
      <w:r>
        <w:rPr>
          <w:rFonts w:hint="eastAsia"/>
          <w:b/>
          <w:bCs/>
          <w:sz w:val="20"/>
          <w:szCs w:val="18"/>
          <w:lang w:val="en-US" w:eastAsia="zh-CN"/>
        </w:rPr>
        <w:t xml:space="preserve">+ </w:t>
      </w:r>
      <w:r>
        <w:rPr>
          <w:b/>
          <w:bCs/>
          <w:sz w:val="20"/>
          <w:szCs w:val="18"/>
        </w:rPr>
        <w:t>RB</w:t>
      </w:r>
      <w:r>
        <w:rPr>
          <w:rFonts w:hint="eastAsia"/>
          <w:b/>
          <w:bCs/>
          <w:sz w:val="20"/>
          <w:szCs w:val="18"/>
          <w:vertAlign w:val="subscript"/>
          <w:lang w:val="en-US" w:eastAsia="zh-CN"/>
        </w:rPr>
        <w:t>shift</w:t>
      </w:r>
      <w:r>
        <w:rPr>
          <w:b/>
          <w:bCs/>
          <w:sz w:val="20"/>
          <w:szCs w:val="18"/>
        </w:rPr>
        <w:t>,</w:t>
      </w:r>
      <w:r>
        <w:rPr>
          <w:b/>
          <w:bCs/>
          <w:sz w:val="20"/>
          <w:szCs w:val="18"/>
          <w:vertAlign w:val="subscript"/>
        </w:rPr>
        <w:t xml:space="preserve"> </w:t>
      </w:r>
      <w:r>
        <w:rPr>
          <w:b/>
          <w:bCs/>
          <w:sz w:val="20"/>
          <w:szCs w:val="18"/>
        </w:rPr>
        <w:t>and</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eastAsia"/>
          <w:b/>
          <w:bCs/>
          <w:sz w:val="20"/>
          <w:szCs w:val="18"/>
          <w:vertAlign w:val="subscript"/>
          <w:lang w:val="en-US" w:eastAsia="zh-CN"/>
        </w:rPr>
      </w:pPr>
      <w:r>
        <w:rPr>
          <w:b/>
          <w:bCs/>
          <w:sz w:val="20"/>
          <w:szCs w:val="18"/>
        </w:rPr>
        <w:t>RB</w:t>
      </w:r>
      <w:r>
        <w:rPr>
          <w:b/>
          <w:bCs/>
          <w:sz w:val="20"/>
          <w:szCs w:val="18"/>
          <w:vertAlign w:val="subscript"/>
        </w:rPr>
        <w:t>Start</w:t>
      </w:r>
      <w:r>
        <w:rPr>
          <w:b/>
          <w:bCs/>
          <w:sz w:val="20"/>
          <w:szCs w:val="18"/>
          <w:vertAlign w:val="baseline"/>
        </w:rPr>
        <w:t xml:space="preserve"> </w:t>
      </w:r>
      <w:r>
        <w:rPr>
          <w:b/>
          <w:bCs/>
          <w:sz w:val="20"/>
          <w:szCs w:val="18"/>
        </w:rPr>
        <w:t xml:space="preserve">≤ </w:t>
      </w:r>
      <w:r>
        <w:rPr>
          <w:rFonts w:hint="eastAsia"/>
          <w:b/>
          <w:bCs/>
          <w:sz w:val="20"/>
          <w:szCs w:val="18"/>
          <w:lang w:val="en-US" w:eastAsia="zh-CN"/>
        </w:rPr>
        <w:t>N</w:t>
      </w:r>
      <w:r>
        <w:rPr>
          <w:rFonts w:hint="eastAsia"/>
          <w:b/>
          <w:bCs/>
          <w:sz w:val="20"/>
          <w:szCs w:val="18"/>
          <w:vertAlign w:val="subscript"/>
          <w:lang w:val="en-US" w:eastAsia="zh-CN"/>
        </w:rPr>
        <w:t>RB</w:t>
      </w:r>
      <w:r>
        <w:rPr>
          <w:rFonts w:hint="eastAsia"/>
          <w:b/>
          <w:bCs/>
          <w:sz w:val="20"/>
          <w:szCs w:val="18"/>
          <w:vertAlign w:val="baseline"/>
          <w:lang w:val="en-US" w:eastAsia="zh-CN"/>
        </w:rPr>
        <w:t xml:space="preserve"> +</w:t>
      </w:r>
      <w:r>
        <w:rPr>
          <w:b/>
          <w:bCs/>
          <w:sz w:val="20"/>
          <w:szCs w:val="18"/>
          <w:vertAlign w:val="baseline"/>
        </w:rPr>
        <w:t xml:space="preserve"> </w:t>
      </w:r>
      <w:r>
        <w:rPr>
          <w:b/>
          <w:bCs/>
          <w:sz w:val="20"/>
          <w:szCs w:val="18"/>
        </w:rPr>
        <w:t>RB</w:t>
      </w:r>
      <w:r>
        <w:rPr>
          <w:rFonts w:hint="eastAsia"/>
          <w:b/>
          <w:bCs/>
          <w:sz w:val="20"/>
          <w:szCs w:val="18"/>
          <w:vertAlign w:val="subscript"/>
          <w:lang w:val="en-US" w:eastAsia="zh-CN"/>
        </w:rPr>
        <w:t xml:space="preserve">shift </w:t>
      </w:r>
      <w:r>
        <w:rPr>
          <w:rFonts w:hint="default" w:ascii="Times New Roman" w:hAnsi="Times New Roman" w:cs="Times New Roman"/>
          <w:b/>
          <w:bCs/>
          <w:sz w:val="20"/>
          <w:szCs w:val="18"/>
          <w:vertAlign w:val="baseline"/>
          <w:lang w:val="en-US" w:eastAsia="zh-CN"/>
        </w:rPr>
        <w:t>−</w:t>
      </w:r>
      <w:r>
        <w:rPr>
          <w:rFonts w:hint="eastAsia" w:cs="Times New Roman"/>
          <w:b/>
          <w:bCs/>
          <w:sz w:val="20"/>
          <w:szCs w:val="18"/>
          <w:vertAlign w:val="baseline"/>
          <w:lang w:val="en-US" w:eastAsia="zh-CN"/>
        </w:rPr>
        <w:t xml:space="preserve"> </w:t>
      </w:r>
      <w:r>
        <w:rPr>
          <w:rFonts w:hint="eastAsia"/>
          <w:b/>
          <w:bCs/>
          <w:sz w:val="20"/>
          <w:szCs w:val="18"/>
          <w:vertAlign w:val="baseline"/>
          <w:lang w:val="en-US" w:eastAsia="zh-CN"/>
        </w:rPr>
        <w:t>L</w:t>
      </w:r>
      <w:r>
        <w:rPr>
          <w:rFonts w:hint="eastAsia"/>
          <w:b/>
          <w:bCs/>
          <w:sz w:val="20"/>
          <w:szCs w:val="18"/>
          <w:vertAlign w:val="subscript"/>
          <w:lang w:val="en-US" w:eastAsia="zh-CN"/>
        </w:rPr>
        <w:t>CRB</w:t>
      </w:r>
      <w:r>
        <w:rPr>
          <w:b/>
          <w:bCs/>
          <w:sz w:val="20"/>
          <w:szCs w:val="18"/>
        </w:rPr>
        <w:t>,</w:t>
      </w:r>
      <w:r>
        <w:rPr>
          <w:b/>
          <w:bCs/>
          <w:sz w:val="20"/>
          <w:szCs w:val="18"/>
          <w:vertAlign w:val="subscript"/>
        </w:rPr>
        <w:t xml:space="preserve"> </w:t>
      </w:r>
      <w:r>
        <w:rPr>
          <w:b/>
          <w:bCs/>
          <w:sz w:val="20"/>
          <w:szCs w:val="18"/>
        </w:rPr>
        <w:t>and</w:t>
      </w:r>
      <w:r>
        <w:rPr>
          <w:rFonts w:hint="eastAsia"/>
          <w:b/>
          <w:bCs/>
          <w:sz w:val="20"/>
          <w:szCs w:val="18"/>
          <w:vertAlign w:val="subscript"/>
          <w:lang w:val="en-US" w:eastAsia="zh-CN"/>
        </w:rPr>
        <w:t xml:space="preserve"> </w:t>
      </w:r>
    </w:p>
    <w:p>
      <w:pPr>
        <w:pStyle w:val="50"/>
        <w:jc w:val="center"/>
        <w:rPr>
          <w:b/>
          <w:bCs/>
          <w:sz w:val="20"/>
          <w:szCs w:val="18"/>
        </w:rPr>
      </w:pPr>
      <w:r>
        <w:rPr>
          <w:b/>
          <w:bCs/>
          <w:sz w:val="20"/>
          <w:szCs w:val="18"/>
        </w:rPr>
        <w:t>L</w:t>
      </w:r>
      <w:r>
        <w:rPr>
          <w:b/>
          <w:bCs/>
          <w:sz w:val="20"/>
          <w:szCs w:val="18"/>
          <w:vertAlign w:val="subscript"/>
        </w:rPr>
        <w:t xml:space="preserve">CRB  </w:t>
      </w:r>
      <w:r>
        <w:rPr>
          <w:b/>
          <w:bCs/>
          <w:sz w:val="20"/>
          <w:szCs w:val="18"/>
        </w:rPr>
        <w:t>≤  ceil(N</w:t>
      </w:r>
      <w:r>
        <w:rPr>
          <w:b/>
          <w:bCs/>
          <w:sz w:val="20"/>
          <w:szCs w:val="18"/>
          <w:vertAlign w:val="subscript"/>
        </w:rPr>
        <w:t>RB</w:t>
      </w:r>
      <w:r>
        <w:rPr>
          <w:rFonts w:hint="eastAsia"/>
          <w:b/>
          <w:bCs/>
          <w:sz w:val="20"/>
          <w:szCs w:val="18"/>
          <w:vertAlign w:val="subscript"/>
          <w:lang w:val="en-US" w:eastAsia="zh-CN"/>
        </w:rPr>
        <w:t>,extended</w:t>
      </w:r>
      <w:r>
        <w:rPr>
          <w:b/>
          <w:bCs/>
          <w:sz w:val="20"/>
          <w:szCs w:val="18"/>
        </w:rPr>
        <w:t>/2)</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default"/>
          <w:sz w:val="20"/>
          <w:szCs w:val="18"/>
          <w:vertAlign w:val="baseline"/>
          <w:lang w:val="en-US" w:eastAsia="zh-CN"/>
        </w:rPr>
      </w:pPr>
      <w:r>
        <w:rPr>
          <w:b/>
          <w:bCs/>
          <w:sz w:val="20"/>
          <w:szCs w:val="18"/>
        </w:rPr>
        <w:t>where RB</w:t>
      </w:r>
      <w:r>
        <w:rPr>
          <w:rFonts w:hint="eastAsia"/>
          <w:b/>
          <w:bCs/>
          <w:sz w:val="20"/>
          <w:szCs w:val="18"/>
          <w:vertAlign w:val="subscript"/>
          <w:lang w:val="en-US" w:eastAsia="zh-CN"/>
        </w:rPr>
        <w:t>shift</w:t>
      </w:r>
      <w:r>
        <w:rPr>
          <w:rFonts w:hint="eastAsia"/>
          <w:b/>
          <w:bCs/>
          <w:sz w:val="20"/>
          <w:szCs w:val="18"/>
          <w:lang w:val="en-US" w:eastAsia="zh-CN"/>
        </w:rPr>
        <w:t xml:space="preserve"> is the RB offset between the first RB of UE CBW and the first RB of the extended UE CBW and </w:t>
      </w:r>
      <w:r>
        <w:rPr>
          <w:b/>
          <w:bCs/>
          <w:sz w:val="20"/>
          <w:szCs w:val="18"/>
        </w:rPr>
        <w:t>ceil(x) is the smallest integer greater than or equal to x</w:t>
      </w:r>
      <w:r>
        <w:rPr>
          <w:rFonts w:hint="eastAsia"/>
          <w:b/>
          <w:bCs/>
          <w:sz w:val="20"/>
          <w:szCs w:val="18"/>
          <w:lang w:val="en-US" w:eastAsia="zh-CN"/>
        </w:rPr>
        <w:t>.</w:t>
      </w:r>
    </w:p>
    <w:p>
      <w:pPr>
        <w:rPr>
          <w:rFonts w:hint="default"/>
          <w:b/>
          <w:bCs/>
          <w:i w:val="0"/>
          <w:iCs w:val="0"/>
          <w:sz w:val="20"/>
          <w:szCs w:val="20"/>
          <w:lang w:val="en-US" w:eastAsia="zh-CN"/>
        </w:rPr>
      </w:pPr>
      <w:r>
        <w:rPr>
          <w:rFonts w:hint="eastAsia"/>
          <w:b/>
          <w:bCs/>
          <w:i w:val="0"/>
          <w:iCs w:val="0"/>
          <w:sz w:val="20"/>
          <w:szCs w:val="20"/>
          <w:lang w:val="en-US" w:eastAsia="zh-CN"/>
        </w:rPr>
        <w:t>Proposal 3: IBE should be used between edges of UE CBW and extended UE CBW</w:t>
      </w:r>
    </w:p>
    <w:p>
      <w:pPr>
        <w:pStyle w:val="34"/>
        <w:keepNext w:val="0"/>
        <w:keepLines w:val="0"/>
        <w:pageBreakBefore w:val="0"/>
        <w:widowControl/>
        <w:numPr>
          <w:ilvl w:val="2"/>
          <w:numId w:val="10"/>
        </w:numPr>
        <w:kinsoku/>
        <w:wordWrap/>
        <w:overflowPunct/>
        <w:topLinePunct w:val="0"/>
        <w:autoSpaceDE/>
        <w:autoSpaceDN/>
        <w:bidi w:val="0"/>
        <w:adjustRightInd/>
        <w:snapToGrid/>
        <w:spacing w:after="120"/>
        <w:ind w:left="363" w:hanging="363" w:firstLineChars="0"/>
        <w:textAlignment w:val="auto"/>
        <w:rPr>
          <w:rFonts w:hint="eastAsia"/>
          <w:b/>
          <w:bCs/>
          <w:i w:val="0"/>
          <w:iCs w:val="0"/>
          <w:sz w:val="20"/>
          <w:szCs w:val="20"/>
          <w:lang w:val="en-US" w:eastAsia="zh-CN"/>
        </w:rPr>
      </w:pPr>
      <w:r>
        <w:rPr>
          <w:rFonts w:hint="eastAsia"/>
          <w:b/>
          <w:bCs/>
          <w:i w:val="0"/>
          <w:iCs w:val="0"/>
          <w:sz w:val="20"/>
          <w:szCs w:val="20"/>
          <w:lang w:val="en-US" w:eastAsia="zh-CN"/>
        </w:rPr>
        <w:t>The extension of the IBE is not applied in guard band of UE CBW and the extended UE CBW.</w:t>
      </w:r>
    </w:p>
    <w:p>
      <w:pPr>
        <w:rPr>
          <w:rFonts w:hint="eastAsia"/>
          <w:b/>
          <w:bCs/>
          <w:i w:val="0"/>
          <w:iCs w:val="0"/>
          <w:sz w:val="20"/>
          <w:szCs w:val="20"/>
          <w:lang w:val="en-US" w:eastAsia="zh-CN"/>
        </w:rPr>
      </w:pPr>
      <w:r>
        <w:rPr>
          <w:rFonts w:hint="eastAsia"/>
          <w:b/>
          <w:bCs/>
          <w:i w:val="0"/>
          <w:iCs w:val="0"/>
          <w:sz w:val="20"/>
          <w:szCs w:val="20"/>
          <w:lang w:val="en-US" w:eastAsia="zh-CN"/>
        </w:rPr>
        <w:t xml:space="preserve">Proposal 4: </w:t>
      </w:r>
    </w:p>
    <w:p>
      <w:pPr>
        <w:pStyle w:val="34"/>
        <w:keepNext w:val="0"/>
        <w:keepLines w:val="0"/>
        <w:pageBreakBefore w:val="0"/>
        <w:widowControl/>
        <w:numPr>
          <w:ilvl w:val="2"/>
          <w:numId w:val="10"/>
        </w:numPr>
        <w:kinsoku/>
        <w:wordWrap/>
        <w:overflowPunct/>
        <w:topLinePunct w:val="0"/>
        <w:autoSpaceDE/>
        <w:autoSpaceDN/>
        <w:bidi w:val="0"/>
        <w:adjustRightInd/>
        <w:snapToGrid/>
        <w:spacing w:after="120"/>
        <w:ind w:left="363" w:hanging="363" w:firstLineChars="0"/>
        <w:textAlignment w:val="auto"/>
        <w:rPr>
          <w:rFonts w:hint="eastAsia"/>
          <w:b/>
          <w:bCs/>
          <w:i w:val="0"/>
          <w:iCs w:val="0"/>
          <w:sz w:val="20"/>
          <w:szCs w:val="20"/>
          <w:lang w:val="en-US" w:eastAsia="zh-CN"/>
        </w:rPr>
      </w:pPr>
      <w:r>
        <w:rPr>
          <w:rFonts w:hint="eastAsia"/>
          <w:b/>
          <w:bCs/>
          <w:i w:val="0"/>
          <w:iCs w:val="0"/>
          <w:sz w:val="20"/>
          <w:szCs w:val="20"/>
          <w:lang w:val="en-US" w:eastAsia="zh-CN"/>
        </w:rPr>
        <w:t>Extend the IBE limit in the outermost RB of UE CBW to the range between edges of UE CBW and extended UE CBW for non-full RB allocation scenario</w:t>
      </w:r>
    </w:p>
    <w:p>
      <w:pPr>
        <w:pStyle w:val="34"/>
        <w:keepNext w:val="0"/>
        <w:keepLines w:val="0"/>
        <w:pageBreakBefore w:val="0"/>
        <w:widowControl/>
        <w:numPr>
          <w:ilvl w:val="2"/>
          <w:numId w:val="10"/>
        </w:numPr>
        <w:kinsoku/>
        <w:wordWrap/>
        <w:overflowPunct/>
        <w:topLinePunct w:val="0"/>
        <w:autoSpaceDE/>
        <w:autoSpaceDN/>
        <w:bidi w:val="0"/>
        <w:adjustRightInd/>
        <w:snapToGrid/>
        <w:spacing w:after="120"/>
        <w:ind w:left="363" w:hanging="363" w:firstLineChars="0"/>
        <w:textAlignment w:val="auto"/>
        <w:rPr>
          <w:rFonts w:hint="eastAsia"/>
          <w:b/>
          <w:bCs/>
          <w:i w:val="0"/>
          <w:iCs w:val="0"/>
          <w:sz w:val="20"/>
          <w:szCs w:val="20"/>
          <w:lang w:val="en-US" w:eastAsia="zh-CN"/>
        </w:rPr>
      </w:pPr>
      <w:r>
        <w:rPr>
          <w:rFonts w:hint="eastAsia"/>
          <w:b/>
          <w:bCs/>
          <w:i w:val="0"/>
          <w:iCs w:val="0"/>
          <w:sz w:val="20"/>
          <w:szCs w:val="20"/>
          <w:lang w:val="en-US" w:eastAsia="zh-CN"/>
        </w:rPr>
        <w:t>Use the IBE limit of the following equation between edges of UE CBW and extended UE CBW for full RB allocation scenario</w:t>
      </w:r>
    </w:p>
    <w:p>
      <w:pPr>
        <w:pStyle w:val="34"/>
        <w:keepNext w:val="0"/>
        <w:keepLines w:val="0"/>
        <w:pageBreakBefore w:val="0"/>
        <w:widowControl/>
        <w:numPr>
          <w:ilvl w:val="0"/>
          <w:numId w:val="0"/>
        </w:numPr>
        <w:kinsoku/>
        <w:wordWrap/>
        <w:overflowPunct/>
        <w:topLinePunct w:val="0"/>
        <w:autoSpaceDE/>
        <w:autoSpaceDN/>
        <w:bidi w:val="0"/>
        <w:adjustRightInd/>
        <w:snapToGrid/>
        <w:spacing w:after="120"/>
        <w:ind w:leftChars="0"/>
        <w:jc w:val="center"/>
        <w:textAlignment w:val="auto"/>
        <w:rPr>
          <w:rFonts w:hint="eastAsia"/>
          <w:b/>
          <w:bCs/>
          <w:i w:val="0"/>
          <w:iCs w:val="0"/>
          <w:sz w:val="20"/>
          <w:szCs w:val="20"/>
          <w:lang w:val="en-US" w:eastAsia="zh-CN"/>
        </w:rPr>
      </w:pPr>
      <w:r>
        <w:rPr>
          <w:rFonts w:cs="Arial"/>
          <w:position w:val="-10"/>
        </w:rPr>
        <w:object>
          <v:shape id="_x0000_i1032" o:spt="75" type="#_x0000_t75" style="height:14.25pt;width:286.85pt;" o:ole="t" filled="f" o:preferrelative="t" stroked="f" coordsize="21600,21600">
            <v:path/>
            <v:fill on="f" focussize="0,0"/>
            <v:stroke on="f"/>
            <v:imagedata r:id="rId25" o:title=""/>
            <o:lock v:ext="edit" aspectratio="t"/>
            <w10:wrap type="none"/>
            <w10:anchorlock/>
          </v:shape>
          <o:OLEObject Type="Embed" ProgID="Equation.3" ShapeID="_x0000_i1032" DrawAspect="Content" ObjectID="_1468075732" r:id="rId31">
            <o:LockedField>false</o:LockedField>
          </o:OLEObject>
        </w:object>
      </w:r>
    </w:p>
    <w:p>
      <w:pPr>
        <w:rPr>
          <w:rFonts w:hint="eastAsia"/>
          <w:b/>
          <w:bCs/>
          <w:i w:val="0"/>
          <w:iCs w:val="0"/>
          <w:sz w:val="20"/>
          <w:szCs w:val="20"/>
          <w:lang w:val="en-US" w:eastAsia="zh-CN"/>
        </w:rPr>
      </w:pPr>
      <w:r>
        <w:rPr>
          <w:rFonts w:hint="eastAsia"/>
          <w:b/>
          <w:bCs/>
          <w:i w:val="0"/>
          <w:iCs w:val="0"/>
          <w:sz w:val="20"/>
          <w:szCs w:val="20"/>
          <w:lang w:val="en-US" w:eastAsia="zh-CN"/>
        </w:rPr>
        <w:t>Proposal 5: ACLR and SEM should be applicable from the edge of extended UE CBW</w:t>
      </w:r>
    </w:p>
    <w:p>
      <w:pPr>
        <w:pStyle w:val="34"/>
        <w:keepNext w:val="0"/>
        <w:keepLines w:val="0"/>
        <w:pageBreakBefore w:val="0"/>
        <w:widowControl/>
        <w:numPr>
          <w:ilvl w:val="2"/>
          <w:numId w:val="10"/>
        </w:numPr>
        <w:kinsoku/>
        <w:wordWrap/>
        <w:overflowPunct/>
        <w:topLinePunct w:val="0"/>
        <w:autoSpaceDE/>
        <w:autoSpaceDN/>
        <w:bidi w:val="0"/>
        <w:adjustRightInd/>
        <w:snapToGrid/>
        <w:spacing w:after="120"/>
        <w:ind w:left="363" w:hanging="363" w:firstLineChars="0"/>
        <w:textAlignment w:val="auto"/>
        <w:rPr>
          <w:rFonts w:hint="default"/>
          <w:b/>
          <w:bCs/>
          <w:i w:val="0"/>
          <w:iCs w:val="0"/>
          <w:sz w:val="20"/>
          <w:szCs w:val="20"/>
          <w:lang w:val="en-US" w:eastAsia="zh-CN"/>
        </w:rPr>
      </w:pPr>
      <w:r>
        <w:rPr>
          <w:rFonts w:hint="eastAsia"/>
          <w:b/>
          <w:bCs/>
          <w:i w:val="0"/>
          <w:iCs w:val="0"/>
          <w:sz w:val="20"/>
          <w:szCs w:val="20"/>
          <w:lang w:val="en-US" w:eastAsia="zh-CN"/>
        </w:rPr>
        <w:t>The OOBE requirements are based on UE CBW</w:t>
      </w:r>
    </w:p>
    <w:p>
      <w:pPr>
        <w:pStyle w:val="34"/>
        <w:keepNext w:val="0"/>
        <w:keepLines w:val="0"/>
        <w:pageBreakBefore w:val="0"/>
        <w:widowControl/>
        <w:numPr>
          <w:ilvl w:val="2"/>
          <w:numId w:val="10"/>
        </w:numPr>
        <w:kinsoku/>
        <w:wordWrap/>
        <w:overflowPunct/>
        <w:topLinePunct w:val="0"/>
        <w:autoSpaceDE/>
        <w:autoSpaceDN/>
        <w:bidi w:val="0"/>
        <w:adjustRightInd/>
        <w:snapToGrid/>
        <w:spacing w:after="120"/>
        <w:ind w:left="363" w:hanging="363" w:firstLineChars="0"/>
        <w:textAlignment w:val="auto"/>
        <w:rPr>
          <w:rFonts w:hint="default"/>
          <w:b/>
          <w:bCs/>
          <w:i w:val="0"/>
          <w:iCs w:val="0"/>
          <w:sz w:val="20"/>
          <w:szCs w:val="20"/>
          <w:lang w:val="en-US" w:eastAsia="zh-CN"/>
        </w:rPr>
      </w:pPr>
      <w:r>
        <w:rPr>
          <w:rFonts w:hint="default"/>
          <w:b/>
          <w:bCs/>
          <w:i w:val="0"/>
          <w:iCs w:val="0"/>
          <w:sz w:val="20"/>
          <w:szCs w:val="20"/>
          <w:lang w:val="en-US" w:eastAsia="zh-CN"/>
        </w:rPr>
        <w:t>OOB boundary F</w:t>
      </w:r>
      <w:r>
        <w:rPr>
          <w:rFonts w:hint="default"/>
          <w:b/>
          <w:bCs/>
          <w:i w:val="0"/>
          <w:iCs w:val="0"/>
          <w:sz w:val="20"/>
          <w:szCs w:val="20"/>
          <w:vertAlign w:val="subscript"/>
          <w:lang w:val="en-US" w:eastAsia="zh-CN"/>
        </w:rPr>
        <w:t>OOB</w:t>
      </w:r>
      <w:r>
        <w:rPr>
          <w:rFonts w:hint="default"/>
          <w:b/>
          <w:bCs/>
          <w:i w:val="0"/>
          <w:iCs w:val="0"/>
          <w:sz w:val="20"/>
          <w:szCs w:val="20"/>
          <w:lang w:val="en-US" w:eastAsia="zh-CN"/>
        </w:rPr>
        <w:t xml:space="preserve"> </w:t>
      </w:r>
      <w:r>
        <w:rPr>
          <w:rFonts w:hint="eastAsia"/>
          <w:b/>
          <w:bCs/>
          <w:i w:val="0"/>
          <w:iCs w:val="0"/>
          <w:sz w:val="20"/>
          <w:szCs w:val="20"/>
          <w:lang w:val="en-US" w:eastAsia="zh-CN"/>
        </w:rPr>
        <w:t xml:space="preserve">to apply SE </w:t>
      </w:r>
      <w:r>
        <w:rPr>
          <w:rFonts w:hint="default"/>
          <w:b/>
          <w:bCs/>
          <w:i w:val="0"/>
          <w:iCs w:val="0"/>
          <w:sz w:val="20"/>
          <w:szCs w:val="20"/>
          <w:lang w:val="en-US" w:eastAsia="zh-CN"/>
        </w:rPr>
        <w:t>should be the extended UE CBW + 5MHz.</w:t>
      </w:r>
    </w:p>
    <w:p>
      <w:pPr>
        <w:keepNext/>
        <w:keepLines w:val="0"/>
        <w:pageBreakBefore w:val="0"/>
        <w:widowControl w:val="0"/>
        <w:numPr>
          <w:ilvl w:val="0"/>
          <w:numId w:val="0"/>
        </w:numPr>
        <w:kinsoku/>
        <w:wordWrap/>
        <w:overflowPunct/>
        <w:topLinePunct w:val="0"/>
        <w:autoSpaceDE/>
        <w:autoSpaceDN/>
        <w:bidi w:val="0"/>
        <w:adjustRightInd/>
        <w:snapToGrid/>
        <w:ind w:leftChars="0"/>
        <w:textAlignment w:val="auto"/>
        <w:rPr>
          <w:rFonts w:hint="default"/>
          <w:b/>
          <w:bCs/>
          <w:color w:val="000000" w:themeColor="text1"/>
          <w:sz w:val="20"/>
          <w:szCs w:val="20"/>
          <w:lang w:val="en-US" w:eastAsia="zh-CN"/>
          <w14:textFill>
            <w14:solidFill>
              <w14:schemeClr w14:val="tx1"/>
            </w14:solidFill>
          </w14:textFill>
        </w:rPr>
      </w:pPr>
      <w:bookmarkStart w:id="13" w:name="_GoBack"/>
      <w:bookmarkEnd w:id="13"/>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val="0"/>
        <w:keepLines w:val="0"/>
        <w:pageBreakBefore w:val="0"/>
        <w:widowControl w:val="0"/>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eastAsia"/>
          <w:sz w:val="20"/>
          <w:szCs w:val="20"/>
          <w:lang w:val="en-US" w:eastAsia="zh-CN"/>
        </w:rPr>
        <w:t>RP-230828, New WID: UE RF enhancements for NR FR1/FR2 and EN-DC, Phase 4, Huawei</w:t>
      </w:r>
    </w:p>
    <w:p>
      <w:pPr>
        <w:keepNext w:val="0"/>
        <w:keepLines w:val="0"/>
        <w:pageBreakBefore w:val="0"/>
        <w:widowControl w:val="0"/>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default"/>
          <w:color w:val="auto"/>
          <w:sz w:val="20"/>
          <w:szCs w:val="20"/>
          <w:lang w:val="en-US" w:eastAsia="zh-CN"/>
        </w:rPr>
        <w:t>R4-2420527</w:t>
      </w:r>
      <w:r>
        <w:rPr>
          <w:rFonts w:hint="eastAsia"/>
          <w:color w:val="auto"/>
          <w:sz w:val="20"/>
          <w:szCs w:val="20"/>
          <w:lang w:val="en-US" w:eastAsia="zh-CN"/>
        </w:rPr>
        <w:t>, WF on Power domain enhancement, Huawei, HiSilicon</w:t>
      </w:r>
    </w:p>
    <w:p>
      <w:pPr>
        <w:keepNext w:val="0"/>
        <w:keepLines w:val="0"/>
        <w:pageBreakBefore w:val="0"/>
        <w:widowControl w:val="0"/>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default"/>
          <w:color w:val="auto"/>
          <w:sz w:val="20"/>
          <w:szCs w:val="20"/>
          <w:lang w:val="en-US" w:eastAsia="zh-CN"/>
        </w:rPr>
        <w:t>R4-2419400</w:t>
      </w:r>
      <w:r>
        <w:rPr>
          <w:rFonts w:hint="eastAsia"/>
          <w:color w:val="auto"/>
          <w:sz w:val="20"/>
          <w:szCs w:val="20"/>
          <w:lang w:val="en-US" w:eastAsia="zh-CN"/>
        </w:rPr>
        <w:t>, Discussion on power domain enhancement for NR single carrier, MediaTek Inc.</w:t>
      </w: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both"/>
        <w:textAlignment w:val="auto"/>
        <w:rPr>
          <w:rFonts w:hint="default"/>
          <w:b/>
          <w:bCs/>
          <w:sz w:val="20"/>
          <w:szCs w:val="18"/>
          <w:lang w:val="en-US" w:eastAsia="zh-CN"/>
        </w:rPr>
      </w:pPr>
    </w:p>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New York">
    <w:altName w:val="Tahoma"/>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9EF8B96"/>
    <w:multiLevelType w:val="singleLevel"/>
    <w:tmpl w:val="C9EF8B96"/>
    <w:lvl w:ilvl="0" w:tentative="0">
      <w:start w:val="1"/>
      <w:numFmt w:val="bullet"/>
      <w:lvlText w:val="•"/>
      <w:lvlJc w:val="left"/>
      <w:pPr>
        <w:ind w:left="420" w:leftChars="0" w:hanging="420" w:firstLineChars="0"/>
      </w:pPr>
      <w:rPr>
        <w:rFonts w:hint="default" w:ascii="Arial" w:hAnsi="Arial" w:cs="Arial"/>
      </w:rPr>
    </w:lvl>
  </w:abstractNum>
  <w:abstractNum w:abstractNumId="2">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3">
    <w:nsid w:val="04E02AA7"/>
    <w:multiLevelType w:val="multilevel"/>
    <w:tmpl w:val="04E02AA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8">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2"/>
      <w:numFmt w:val="bullet"/>
      <w:lvlText w:val="-"/>
      <w:lvlJc w:val="left"/>
      <w:pPr>
        <w:ind w:left="1080" w:hanging="360"/>
      </w:pPr>
      <w:rPr>
        <w:rFonts w:hint="eastAsia" w:ascii="New York" w:hAnsi="New York" w:eastAsia="New York" w:cs="宋体"/>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5F723A5E"/>
    <w:multiLevelType w:val="singleLevel"/>
    <w:tmpl w:val="5F723A5E"/>
    <w:lvl w:ilvl="0" w:tentative="0">
      <w:start w:val="1"/>
      <w:numFmt w:val="decimal"/>
      <w:suff w:val="space"/>
      <w:lvlText w:val="[%1]"/>
      <w:lvlJc w:val="left"/>
    </w:lvl>
  </w:abstractNum>
  <w:abstractNum w:abstractNumId="11">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11"/>
  </w:num>
  <w:num w:numId="3">
    <w:abstractNumId w:val="9"/>
  </w:num>
  <w:num w:numId="4">
    <w:abstractNumId w:val="6"/>
  </w:num>
  <w:num w:numId="5">
    <w:abstractNumId w:val="7"/>
  </w:num>
  <w:num w:numId="6">
    <w:abstractNumId w:val="2"/>
  </w:num>
  <w:num w:numId="7">
    <w:abstractNumId w:val="0"/>
  </w:num>
  <w:num w:numId="8">
    <w:abstractNumId w:val="4"/>
  </w:num>
  <w:num w:numId="9">
    <w:abstractNumId w:val="3"/>
  </w:num>
  <w:num w:numId="10">
    <w:abstractNumId w:val="8"/>
  </w:num>
  <w:num w:numId="11">
    <w:abstractNumId w:val="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53"/>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85920"/>
    <w:rsid w:val="01101B26"/>
    <w:rsid w:val="011A0B49"/>
    <w:rsid w:val="014A0623"/>
    <w:rsid w:val="01536583"/>
    <w:rsid w:val="0156475D"/>
    <w:rsid w:val="015D3EF3"/>
    <w:rsid w:val="016112D3"/>
    <w:rsid w:val="0165788D"/>
    <w:rsid w:val="01764F01"/>
    <w:rsid w:val="018107C9"/>
    <w:rsid w:val="01854FE9"/>
    <w:rsid w:val="018E207B"/>
    <w:rsid w:val="0190283E"/>
    <w:rsid w:val="019C544F"/>
    <w:rsid w:val="019D155B"/>
    <w:rsid w:val="01A428BB"/>
    <w:rsid w:val="01AE307F"/>
    <w:rsid w:val="01B35169"/>
    <w:rsid w:val="01C00B7B"/>
    <w:rsid w:val="01CA1BB3"/>
    <w:rsid w:val="01D00B7E"/>
    <w:rsid w:val="01D46B8D"/>
    <w:rsid w:val="01D67ABF"/>
    <w:rsid w:val="01D866D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2E63DE2"/>
    <w:rsid w:val="02FB6CDA"/>
    <w:rsid w:val="03036B01"/>
    <w:rsid w:val="03052298"/>
    <w:rsid w:val="03073BDC"/>
    <w:rsid w:val="030A6B04"/>
    <w:rsid w:val="030B0647"/>
    <w:rsid w:val="030B2860"/>
    <w:rsid w:val="030C40C1"/>
    <w:rsid w:val="030D2F0B"/>
    <w:rsid w:val="03120079"/>
    <w:rsid w:val="03147E4E"/>
    <w:rsid w:val="03187492"/>
    <w:rsid w:val="031E429F"/>
    <w:rsid w:val="032F336F"/>
    <w:rsid w:val="03317AD0"/>
    <w:rsid w:val="033C68CE"/>
    <w:rsid w:val="033F734A"/>
    <w:rsid w:val="03445E8F"/>
    <w:rsid w:val="03496C64"/>
    <w:rsid w:val="035154D3"/>
    <w:rsid w:val="03527C38"/>
    <w:rsid w:val="0356746F"/>
    <w:rsid w:val="035C61CA"/>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94550"/>
    <w:rsid w:val="03EC63CD"/>
    <w:rsid w:val="04030035"/>
    <w:rsid w:val="04142BDC"/>
    <w:rsid w:val="04242D1B"/>
    <w:rsid w:val="04251A4C"/>
    <w:rsid w:val="042D2E97"/>
    <w:rsid w:val="04305EA0"/>
    <w:rsid w:val="04310833"/>
    <w:rsid w:val="04343921"/>
    <w:rsid w:val="04346443"/>
    <w:rsid w:val="043865BF"/>
    <w:rsid w:val="043A14AD"/>
    <w:rsid w:val="044C78D8"/>
    <w:rsid w:val="04537B11"/>
    <w:rsid w:val="04684A28"/>
    <w:rsid w:val="046C0EAE"/>
    <w:rsid w:val="046D525B"/>
    <w:rsid w:val="04782230"/>
    <w:rsid w:val="0479507E"/>
    <w:rsid w:val="04894975"/>
    <w:rsid w:val="04922411"/>
    <w:rsid w:val="04A65723"/>
    <w:rsid w:val="04B14B03"/>
    <w:rsid w:val="04CF6607"/>
    <w:rsid w:val="04D06773"/>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F225A"/>
    <w:rsid w:val="05636085"/>
    <w:rsid w:val="05716819"/>
    <w:rsid w:val="057A3F9F"/>
    <w:rsid w:val="057D1D66"/>
    <w:rsid w:val="059D265F"/>
    <w:rsid w:val="059E1515"/>
    <w:rsid w:val="05B92EC1"/>
    <w:rsid w:val="05DB542B"/>
    <w:rsid w:val="05E00AEA"/>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067FB"/>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9B79D9"/>
    <w:rsid w:val="08A44DA6"/>
    <w:rsid w:val="08AA245A"/>
    <w:rsid w:val="08AD2ACC"/>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73317F"/>
    <w:rsid w:val="098143BC"/>
    <w:rsid w:val="098500F1"/>
    <w:rsid w:val="09885EF4"/>
    <w:rsid w:val="0992510E"/>
    <w:rsid w:val="09B33AE4"/>
    <w:rsid w:val="09BD407A"/>
    <w:rsid w:val="09BF125C"/>
    <w:rsid w:val="09C12CF5"/>
    <w:rsid w:val="09DA0E26"/>
    <w:rsid w:val="09DB6437"/>
    <w:rsid w:val="09E55691"/>
    <w:rsid w:val="09F67CD5"/>
    <w:rsid w:val="09FB69BA"/>
    <w:rsid w:val="0A054821"/>
    <w:rsid w:val="0A077A43"/>
    <w:rsid w:val="0A0835C8"/>
    <w:rsid w:val="0A145721"/>
    <w:rsid w:val="0A355EAA"/>
    <w:rsid w:val="0A3708FF"/>
    <w:rsid w:val="0A3B01F9"/>
    <w:rsid w:val="0A3F0488"/>
    <w:rsid w:val="0A402A36"/>
    <w:rsid w:val="0A4236A3"/>
    <w:rsid w:val="0A4E7EF5"/>
    <w:rsid w:val="0A646846"/>
    <w:rsid w:val="0A7B4D83"/>
    <w:rsid w:val="0A81506C"/>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8D2D6F"/>
    <w:rsid w:val="0B987E20"/>
    <w:rsid w:val="0B9E71DF"/>
    <w:rsid w:val="0BA65BCD"/>
    <w:rsid w:val="0BAD5CC5"/>
    <w:rsid w:val="0BAD5EDC"/>
    <w:rsid w:val="0BAF59B9"/>
    <w:rsid w:val="0BB524B8"/>
    <w:rsid w:val="0BB756DF"/>
    <w:rsid w:val="0BC63DB2"/>
    <w:rsid w:val="0BCC1DA3"/>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2728"/>
    <w:rsid w:val="0C825F28"/>
    <w:rsid w:val="0C89028B"/>
    <w:rsid w:val="0C8B63A3"/>
    <w:rsid w:val="0C974142"/>
    <w:rsid w:val="0CB94808"/>
    <w:rsid w:val="0CC146A9"/>
    <w:rsid w:val="0CC37BC2"/>
    <w:rsid w:val="0CC44C49"/>
    <w:rsid w:val="0CD87ABE"/>
    <w:rsid w:val="0CE26C42"/>
    <w:rsid w:val="0CE632FF"/>
    <w:rsid w:val="0CE76B48"/>
    <w:rsid w:val="0CEB5DBE"/>
    <w:rsid w:val="0CFB523A"/>
    <w:rsid w:val="0D074D4A"/>
    <w:rsid w:val="0D0A3371"/>
    <w:rsid w:val="0D0C5764"/>
    <w:rsid w:val="0D1B1E9C"/>
    <w:rsid w:val="0D1C2E6E"/>
    <w:rsid w:val="0D2D3ACB"/>
    <w:rsid w:val="0D4B44A1"/>
    <w:rsid w:val="0D6811B4"/>
    <w:rsid w:val="0D6E2620"/>
    <w:rsid w:val="0D704E21"/>
    <w:rsid w:val="0D755FFE"/>
    <w:rsid w:val="0D7F48FE"/>
    <w:rsid w:val="0D883C88"/>
    <w:rsid w:val="0D8A6002"/>
    <w:rsid w:val="0D8C6C09"/>
    <w:rsid w:val="0D9074CF"/>
    <w:rsid w:val="0D936E72"/>
    <w:rsid w:val="0D966BF7"/>
    <w:rsid w:val="0DB54F84"/>
    <w:rsid w:val="0DB84465"/>
    <w:rsid w:val="0DCC3AE8"/>
    <w:rsid w:val="0DD87842"/>
    <w:rsid w:val="0DDE2885"/>
    <w:rsid w:val="0DEF012A"/>
    <w:rsid w:val="0DF202E1"/>
    <w:rsid w:val="0DF53CE3"/>
    <w:rsid w:val="0E034654"/>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91130"/>
    <w:rsid w:val="0E9E6E00"/>
    <w:rsid w:val="0EA40C1C"/>
    <w:rsid w:val="0EAA759E"/>
    <w:rsid w:val="0EAF381F"/>
    <w:rsid w:val="0EB72E4B"/>
    <w:rsid w:val="0ECE6156"/>
    <w:rsid w:val="0EEC6F1D"/>
    <w:rsid w:val="0EF6507E"/>
    <w:rsid w:val="0F0621F6"/>
    <w:rsid w:val="0F103291"/>
    <w:rsid w:val="0F15660A"/>
    <w:rsid w:val="0F1D0EA6"/>
    <w:rsid w:val="0F1D498B"/>
    <w:rsid w:val="0F22242C"/>
    <w:rsid w:val="0F337178"/>
    <w:rsid w:val="0F3B15FC"/>
    <w:rsid w:val="0F41022A"/>
    <w:rsid w:val="0F56743B"/>
    <w:rsid w:val="0F60682C"/>
    <w:rsid w:val="0F661944"/>
    <w:rsid w:val="0F67165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022743"/>
    <w:rsid w:val="101B1E8A"/>
    <w:rsid w:val="101C3037"/>
    <w:rsid w:val="101C4A03"/>
    <w:rsid w:val="101D0C86"/>
    <w:rsid w:val="10320BC0"/>
    <w:rsid w:val="10443F45"/>
    <w:rsid w:val="104A023B"/>
    <w:rsid w:val="104B6A1B"/>
    <w:rsid w:val="10501493"/>
    <w:rsid w:val="10505F3B"/>
    <w:rsid w:val="10677613"/>
    <w:rsid w:val="106D2686"/>
    <w:rsid w:val="107407B6"/>
    <w:rsid w:val="107C3E2C"/>
    <w:rsid w:val="107D41AE"/>
    <w:rsid w:val="108C2479"/>
    <w:rsid w:val="10B3132B"/>
    <w:rsid w:val="10C02F85"/>
    <w:rsid w:val="10C6436B"/>
    <w:rsid w:val="10C715C5"/>
    <w:rsid w:val="10D335EF"/>
    <w:rsid w:val="10E255A6"/>
    <w:rsid w:val="10E746EA"/>
    <w:rsid w:val="10E83FE0"/>
    <w:rsid w:val="10EC3168"/>
    <w:rsid w:val="10F52718"/>
    <w:rsid w:val="10F70AE6"/>
    <w:rsid w:val="11123EF8"/>
    <w:rsid w:val="11124F2E"/>
    <w:rsid w:val="11125358"/>
    <w:rsid w:val="11144228"/>
    <w:rsid w:val="111F38A5"/>
    <w:rsid w:val="111F6CBE"/>
    <w:rsid w:val="112D2A42"/>
    <w:rsid w:val="113A22DB"/>
    <w:rsid w:val="114028DC"/>
    <w:rsid w:val="11441C15"/>
    <w:rsid w:val="11583891"/>
    <w:rsid w:val="1159252B"/>
    <w:rsid w:val="1160765D"/>
    <w:rsid w:val="116F1EB0"/>
    <w:rsid w:val="11727495"/>
    <w:rsid w:val="11735EB1"/>
    <w:rsid w:val="11752FEB"/>
    <w:rsid w:val="117A242E"/>
    <w:rsid w:val="117B1D6A"/>
    <w:rsid w:val="117C2D9D"/>
    <w:rsid w:val="117F159E"/>
    <w:rsid w:val="11821DC9"/>
    <w:rsid w:val="11897A08"/>
    <w:rsid w:val="11921373"/>
    <w:rsid w:val="119658A7"/>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595070"/>
    <w:rsid w:val="126532DD"/>
    <w:rsid w:val="12680E73"/>
    <w:rsid w:val="12763466"/>
    <w:rsid w:val="127E5AA6"/>
    <w:rsid w:val="12811F99"/>
    <w:rsid w:val="128B2749"/>
    <w:rsid w:val="128E1E81"/>
    <w:rsid w:val="129019B5"/>
    <w:rsid w:val="129811DB"/>
    <w:rsid w:val="129937EE"/>
    <w:rsid w:val="129E6282"/>
    <w:rsid w:val="129F3A3A"/>
    <w:rsid w:val="12A76451"/>
    <w:rsid w:val="12AA7237"/>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6F24BC"/>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3BAE"/>
    <w:rsid w:val="141C71BE"/>
    <w:rsid w:val="141E583B"/>
    <w:rsid w:val="1424615D"/>
    <w:rsid w:val="142C143A"/>
    <w:rsid w:val="142E1345"/>
    <w:rsid w:val="14355342"/>
    <w:rsid w:val="144C1C02"/>
    <w:rsid w:val="144D63F0"/>
    <w:rsid w:val="145103FA"/>
    <w:rsid w:val="145F07C7"/>
    <w:rsid w:val="14601908"/>
    <w:rsid w:val="14632D00"/>
    <w:rsid w:val="14650E7F"/>
    <w:rsid w:val="146B69A8"/>
    <w:rsid w:val="146C5189"/>
    <w:rsid w:val="146F1089"/>
    <w:rsid w:val="14816B50"/>
    <w:rsid w:val="148313F4"/>
    <w:rsid w:val="1485665F"/>
    <w:rsid w:val="148829D5"/>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62AF5"/>
    <w:rsid w:val="14DA3DA1"/>
    <w:rsid w:val="14E60B42"/>
    <w:rsid w:val="14E75E9B"/>
    <w:rsid w:val="14EA1C4D"/>
    <w:rsid w:val="14EF0267"/>
    <w:rsid w:val="14FB736A"/>
    <w:rsid w:val="150222BF"/>
    <w:rsid w:val="1509658E"/>
    <w:rsid w:val="150F7C33"/>
    <w:rsid w:val="151178FC"/>
    <w:rsid w:val="1515004B"/>
    <w:rsid w:val="151B7C99"/>
    <w:rsid w:val="15207BBA"/>
    <w:rsid w:val="15222DA1"/>
    <w:rsid w:val="15256B65"/>
    <w:rsid w:val="152F4E1B"/>
    <w:rsid w:val="154806E1"/>
    <w:rsid w:val="154D342A"/>
    <w:rsid w:val="1559587F"/>
    <w:rsid w:val="155E7DEC"/>
    <w:rsid w:val="15740334"/>
    <w:rsid w:val="1574662E"/>
    <w:rsid w:val="15751882"/>
    <w:rsid w:val="1575191B"/>
    <w:rsid w:val="157818C6"/>
    <w:rsid w:val="158133D5"/>
    <w:rsid w:val="159F73BB"/>
    <w:rsid w:val="15B03F28"/>
    <w:rsid w:val="15C15E25"/>
    <w:rsid w:val="15C42571"/>
    <w:rsid w:val="15E30A80"/>
    <w:rsid w:val="15FD2FA2"/>
    <w:rsid w:val="160125B6"/>
    <w:rsid w:val="16021A7C"/>
    <w:rsid w:val="1608480E"/>
    <w:rsid w:val="161C1C58"/>
    <w:rsid w:val="162B27CD"/>
    <w:rsid w:val="162D7415"/>
    <w:rsid w:val="162F7556"/>
    <w:rsid w:val="163409FD"/>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69F2"/>
    <w:rsid w:val="169865AE"/>
    <w:rsid w:val="169C7FDE"/>
    <w:rsid w:val="16A4319F"/>
    <w:rsid w:val="16AC4DDB"/>
    <w:rsid w:val="16AE2FE3"/>
    <w:rsid w:val="16B23908"/>
    <w:rsid w:val="16B4400E"/>
    <w:rsid w:val="16C16240"/>
    <w:rsid w:val="16C71372"/>
    <w:rsid w:val="16C739DF"/>
    <w:rsid w:val="16C86CDB"/>
    <w:rsid w:val="16DD3B26"/>
    <w:rsid w:val="16E41601"/>
    <w:rsid w:val="16E73506"/>
    <w:rsid w:val="16EB6E00"/>
    <w:rsid w:val="16EE7649"/>
    <w:rsid w:val="16F04615"/>
    <w:rsid w:val="16FD2447"/>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DE2FB7"/>
    <w:rsid w:val="17E47B20"/>
    <w:rsid w:val="17E65848"/>
    <w:rsid w:val="17E66DD8"/>
    <w:rsid w:val="17E84839"/>
    <w:rsid w:val="17EE1403"/>
    <w:rsid w:val="17F25234"/>
    <w:rsid w:val="17F33DC6"/>
    <w:rsid w:val="17F45149"/>
    <w:rsid w:val="17FD061B"/>
    <w:rsid w:val="17FD20FD"/>
    <w:rsid w:val="17FF6314"/>
    <w:rsid w:val="18005F41"/>
    <w:rsid w:val="18025414"/>
    <w:rsid w:val="180E2B18"/>
    <w:rsid w:val="18171305"/>
    <w:rsid w:val="1820454C"/>
    <w:rsid w:val="1829280B"/>
    <w:rsid w:val="18334194"/>
    <w:rsid w:val="183E1D37"/>
    <w:rsid w:val="1840126B"/>
    <w:rsid w:val="1846724A"/>
    <w:rsid w:val="184A22E6"/>
    <w:rsid w:val="184D0787"/>
    <w:rsid w:val="185D1883"/>
    <w:rsid w:val="185E3AA1"/>
    <w:rsid w:val="185F15CF"/>
    <w:rsid w:val="18603479"/>
    <w:rsid w:val="18717152"/>
    <w:rsid w:val="1873591E"/>
    <w:rsid w:val="18812331"/>
    <w:rsid w:val="18816F1C"/>
    <w:rsid w:val="18847050"/>
    <w:rsid w:val="18853F3E"/>
    <w:rsid w:val="188F3639"/>
    <w:rsid w:val="18956393"/>
    <w:rsid w:val="18A8582C"/>
    <w:rsid w:val="18B50543"/>
    <w:rsid w:val="18CA40C3"/>
    <w:rsid w:val="18CD7A02"/>
    <w:rsid w:val="18D904AC"/>
    <w:rsid w:val="18DD3194"/>
    <w:rsid w:val="19001FFC"/>
    <w:rsid w:val="19083894"/>
    <w:rsid w:val="190E2B4A"/>
    <w:rsid w:val="19246636"/>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36F0E"/>
    <w:rsid w:val="1A165171"/>
    <w:rsid w:val="1A3068A4"/>
    <w:rsid w:val="1A410451"/>
    <w:rsid w:val="1A4858FF"/>
    <w:rsid w:val="1A4C698A"/>
    <w:rsid w:val="1A4D778D"/>
    <w:rsid w:val="1A5D5219"/>
    <w:rsid w:val="1A5E4B5A"/>
    <w:rsid w:val="1A672B1C"/>
    <w:rsid w:val="1A7070DD"/>
    <w:rsid w:val="1A805F1C"/>
    <w:rsid w:val="1A8301C0"/>
    <w:rsid w:val="1A872248"/>
    <w:rsid w:val="1A9B2279"/>
    <w:rsid w:val="1A9D1677"/>
    <w:rsid w:val="1A9E6232"/>
    <w:rsid w:val="1AA57BA7"/>
    <w:rsid w:val="1AA74D3D"/>
    <w:rsid w:val="1AB34DB4"/>
    <w:rsid w:val="1AB613FD"/>
    <w:rsid w:val="1AB64B19"/>
    <w:rsid w:val="1AB73747"/>
    <w:rsid w:val="1AC03C10"/>
    <w:rsid w:val="1AC36D4A"/>
    <w:rsid w:val="1ACF5EB8"/>
    <w:rsid w:val="1AD26086"/>
    <w:rsid w:val="1AD86198"/>
    <w:rsid w:val="1ADD5ACE"/>
    <w:rsid w:val="1AE013F8"/>
    <w:rsid w:val="1AE8570C"/>
    <w:rsid w:val="1AF7297B"/>
    <w:rsid w:val="1AF97DCC"/>
    <w:rsid w:val="1AFB06A3"/>
    <w:rsid w:val="1B062896"/>
    <w:rsid w:val="1B0A0A03"/>
    <w:rsid w:val="1B0F19AE"/>
    <w:rsid w:val="1B141BBC"/>
    <w:rsid w:val="1B2160BB"/>
    <w:rsid w:val="1B3637AD"/>
    <w:rsid w:val="1B3E0DB5"/>
    <w:rsid w:val="1B454C94"/>
    <w:rsid w:val="1B454E69"/>
    <w:rsid w:val="1B4B1754"/>
    <w:rsid w:val="1B5C1145"/>
    <w:rsid w:val="1B5D79CB"/>
    <w:rsid w:val="1B6B769D"/>
    <w:rsid w:val="1B6C0DF0"/>
    <w:rsid w:val="1B6C1479"/>
    <w:rsid w:val="1B6D2E20"/>
    <w:rsid w:val="1B7F6005"/>
    <w:rsid w:val="1B874E63"/>
    <w:rsid w:val="1B9C269A"/>
    <w:rsid w:val="1B9E64C5"/>
    <w:rsid w:val="1B9E6D4C"/>
    <w:rsid w:val="1BB07CEA"/>
    <w:rsid w:val="1BBD43BA"/>
    <w:rsid w:val="1BC01115"/>
    <w:rsid w:val="1BC44015"/>
    <w:rsid w:val="1BC96DA5"/>
    <w:rsid w:val="1BCA6284"/>
    <w:rsid w:val="1BCC6C47"/>
    <w:rsid w:val="1BD02ED8"/>
    <w:rsid w:val="1BE32C74"/>
    <w:rsid w:val="1BF46563"/>
    <w:rsid w:val="1BFB481C"/>
    <w:rsid w:val="1BFE5FF9"/>
    <w:rsid w:val="1BFE7B2D"/>
    <w:rsid w:val="1C013494"/>
    <w:rsid w:val="1C053414"/>
    <w:rsid w:val="1C132CB9"/>
    <w:rsid w:val="1C1642A1"/>
    <w:rsid w:val="1C1E32CC"/>
    <w:rsid w:val="1C2146C5"/>
    <w:rsid w:val="1C240174"/>
    <w:rsid w:val="1C273D33"/>
    <w:rsid w:val="1C3243A8"/>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D77F43"/>
    <w:rsid w:val="1CDB018C"/>
    <w:rsid w:val="1CE45EF5"/>
    <w:rsid w:val="1CE615C9"/>
    <w:rsid w:val="1CED1E7E"/>
    <w:rsid w:val="1CF97361"/>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21AEE"/>
    <w:rsid w:val="1DD34749"/>
    <w:rsid w:val="1DDD201B"/>
    <w:rsid w:val="1DE94164"/>
    <w:rsid w:val="1DEE1B11"/>
    <w:rsid w:val="1E105A20"/>
    <w:rsid w:val="1E164B52"/>
    <w:rsid w:val="1E26583C"/>
    <w:rsid w:val="1E273844"/>
    <w:rsid w:val="1E2F243E"/>
    <w:rsid w:val="1E365CA2"/>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DF326F"/>
    <w:rsid w:val="1EE25FDD"/>
    <w:rsid w:val="1EEF7878"/>
    <w:rsid w:val="1EF5103F"/>
    <w:rsid w:val="1EF86BDC"/>
    <w:rsid w:val="1EFF621F"/>
    <w:rsid w:val="1F001DEB"/>
    <w:rsid w:val="1F090F9B"/>
    <w:rsid w:val="1F092ECA"/>
    <w:rsid w:val="1F0A0088"/>
    <w:rsid w:val="1F0E5D6B"/>
    <w:rsid w:val="1F0F2943"/>
    <w:rsid w:val="1F1420D0"/>
    <w:rsid w:val="1F194C88"/>
    <w:rsid w:val="1F323C57"/>
    <w:rsid w:val="1F343977"/>
    <w:rsid w:val="1F35486A"/>
    <w:rsid w:val="1F3E662A"/>
    <w:rsid w:val="1F4F2219"/>
    <w:rsid w:val="1F5A78CD"/>
    <w:rsid w:val="1F614D01"/>
    <w:rsid w:val="1F721405"/>
    <w:rsid w:val="1F935819"/>
    <w:rsid w:val="1FA036A3"/>
    <w:rsid w:val="1FA6556D"/>
    <w:rsid w:val="1FAF2571"/>
    <w:rsid w:val="1FB33036"/>
    <w:rsid w:val="1FBE5DDE"/>
    <w:rsid w:val="1FC55EDA"/>
    <w:rsid w:val="1FC658C9"/>
    <w:rsid w:val="1FCE593C"/>
    <w:rsid w:val="1FE23C7B"/>
    <w:rsid w:val="1FE312AC"/>
    <w:rsid w:val="1FEC5915"/>
    <w:rsid w:val="1FED32EF"/>
    <w:rsid w:val="1FF82884"/>
    <w:rsid w:val="201E6D7C"/>
    <w:rsid w:val="20446081"/>
    <w:rsid w:val="204852AD"/>
    <w:rsid w:val="204A5E48"/>
    <w:rsid w:val="204A6449"/>
    <w:rsid w:val="204E6676"/>
    <w:rsid w:val="20580C17"/>
    <w:rsid w:val="20595924"/>
    <w:rsid w:val="205A5AA0"/>
    <w:rsid w:val="205B2CD6"/>
    <w:rsid w:val="20773A28"/>
    <w:rsid w:val="208574F4"/>
    <w:rsid w:val="208C4449"/>
    <w:rsid w:val="208F6BAF"/>
    <w:rsid w:val="209414DB"/>
    <w:rsid w:val="20966296"/>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4B6B8E"/>
    <w:rsid w:val="21530058"/>
    <w:rsid w:val="21567D84"/>
    <w:rsid w:val="216608E3"/>
    <w:rsid w:val="21810744"/>
    <w:rsid w:val="218D6EF5"/>
    <w:rsid w:val="2195668B"/>
    <w:rsid w:val="219F69EC"/>
    <w:rsid w:val="21A130EA"/>
    <w:rsid w:val="21AC420B"/>
    <w:rsid w:val="21B405F8"/>
    <w:rsid w:val="21B5366A"/>
    <w:rsid w:val="21C267BF"/>
    <w:rsid w:val="21C67C42"/>
    <w:rsid w:val="21CB6217"/>
    <w:rsid w:val="21CD6BCD"/>
    <w:rsid w:val="21CE6067"/>
    <w:rsid w:val="21CF439A"/>
    <w:rsid w:val="21D824E4"/>
    <w:rsid w:val="21F00127"/>
    <w:rsid w:val="21F66144"/>
    <w:rsid w:val="21F7745C"/>
    <w:rsid w:val="22035C75"/>
    <w:rsid w:val="221A39C9"/>
    <w:rsid w:val="221D2FA3"/>
    <w:rsid w:val="22231B54"/>
    <w:rsid w:val="2226635F"/>
    <w:rsid w:val="222D4F0B"/>
    <w:rsid w:val="223A29CF"/>
    <w:rsid w:val="223D7545"/>
    <w:rsid w:val="22411D14"/>
    <w:rsid w:val="22423BE1"/>
    <w:rsid w:val="2243381D"/>
    <w:rsid w:val="22454449"/>
    <w:rsid w:val="22500810"/>
    <w:rsid w:val="22596EC8"/>
    <w:rsid w:val="226347BD"/>
    <w:rsid w:val="22682935"/>
    <w:rsid w:val="226E0A7E"/>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97A15"/>
    <w:rsid w:val="233C6F76"/>
    <w:rsid w:val="234449F5"/>
    <w:rsid w:val="23536618"/>
    <w:rsid w:val="236C1BCA"/>
    <w:rsid w:val="237464D5"/>
    <w:rsid w:val="23816932"/>
    <w:rsid w:val="23925D42"/>
    <w:rsid w:val="239C062C"/>
    <w:rsid w:val="23A9484E"/>
    <w:rsid w:val="23B32F98"/>
    <w:rsid w:val="23B84268"/>
    <w:rsid w:val="23D17D7B"/>
    <w:rsid w:val="23D36D91"/>
    <w:rsid w:val="23E02099"/>
    <w:rsid w:val="23F70BA5"/>
    <w:rsid w:val="23F93D0D"/>
    <w:rsid w:val="2405417E"/>
    <w:rsid w:val="240731AE"/>
    <w:rsid w:val="24197365"/>
    <w:rsid w:val="241B5C62"/>
    <w:rsid w:val="24295025"/>
    <w:rsid w:val="24312CB0"/>
    <w:rsid w:val="243A6CBE"/>
    <w:rsid w:val="24513B48"/>
    <w:rsid w:val="2458381E"/>
    <w:rsid w:val="245872F9"/>
    <w:rsid w:val="245943D9"/>
    <w:rsid w:val="245E6B64"/>
    <w:rsid w:val="2463385E"/>
    <w:rsid w:val="246B2606"/>
    <w:rsid w:val="24767C7B"/>
    <w:rsid w:val="247C178B"/>
    <w:rsid w:val="24861BCE"/>
    <w:rsid w:val="24967323"/>
    <w:rsid w:val="249D5FC8"/>
    <w:rsid w:val="24A1538E"/>
    <w:rsid w:val="24A628AF"/>
    <w:rsid w:val="24B9450F"/>
    <w:rsid w:val="24C25350"/>
    <w:rsid w:val="24C83F94"/>
    <w:rsid w:val="24D82EE2"/>
    <w:rsid w:val="24E950E7"/>
    <w:rsid w:val="24F60CDA"/>
    <w:rsid w:val="24FE42EB"/>
    <w:rsid w:val="25090336"/>
    <w:rsid w:val="250D450C"/>
    <w:rsid w:val="25134332"/>
    <w:rsid w:val="25141A5B"/>
    <w:rsid w:val="251A2CC7"/>
    <w:rsid w:val="2521546A"/>
    <w:rsid w:val="252242ED"/>
    <w:rsid w:val="252A2BA6"/>
    <w:rsid w:val="252B49E0"/>
    <w:rsid w:val="252D3CC1"/>
    <w:rsid w:val="254A35DD"/>
    <w:rsid w:val="255D45FE"/>
    <w:rsid w:val="25657E8F"/>
    <w:rsid w:val="25691F8B"/>
    <w:rsid w:val="256E76DE"/>
    <w:rsid w:val="25733F7D"/>
    <w:rsid w:val="25734B61"/>
    <w:rsid w:val="257632D6"/>
    <w:rsid w:val="258004D1"/>
    <w:rsid w:val="25855673"/>
    <w:rsid w:val="258F6BC4"/>
    <w:rsid w:val="2597510C"/>
    <w:rsid w:val="25975923"/>
    <w:rsid w:val="259A3D0A"/>
    <w:rsid w:val="25A95F3E"/>
    <w:rsid w:val="25AA38D2"/>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E3CBF"/>
    <w:rsid w:val="26395C92"/>
    <w:rsid w:val="2641231E"/>
    <w:rsid w:val="264252DF"/>
    <w:rsid w:val="26465DA0"/>
    <w:rsid w:val="26562F1C"/>
    <w:rsid w:val="26577EF5"/>
    <w:rsid w:val="265A5249"/>
    <w:rsid w:val="266237C3"/>
    <w:rsid w:val="267550B9"/>
    <w:rsid w:val="26767B98"/>
    <w:rsid w:val="26996DAE"/>
    <w:rsid w:val="26BE1846"/>
    <w:rsid w:val="26C472EC"/>
    <w:rsid w:val="26E51F4F"/>
    <w:rsid w:val="26EC491A"/>
    <w:rsid w:val="26ED73E1"/>
    <w:rsid w:val="26F503CD"/>
    <w:rsid w:val="27036506"/>
    <w:rsid w:val="27047832"/>
    <w:rsid w:val="2706037D"/>
    <w:rsid w:val="27077793"/>
    <w:rsid w:val="270D152E"/>
    <w:rsid w:val="270D21A5"/>
    <w:rsid w:val="271436A9"/>
    <w:rsid w:val="27204B5D"/>
    <w:rsid w:val="27257DE1"/>
    <w:rsid w:val="272F31A0"/>
    <w:rsid w:val="27310CAC"/>
    <w:rsid w:val="27342901"/>
    <w:rsid w:val="273D2762"/>
    <w:rsid w:val="27470B72"/>
    <w:rsid w:val="27525E32"/>
    <w:rsid w:val="27550750"/>
    <w:rsid w:val="27604751"/>
    <w:rsid w:val="276D111F"/>
    <w:rsid w:val="2778582E"/>
    <w:rsid w:val="27806765"/>
    <w:rsid w:val="27821DE7"/>
    <w:rsid w:val="27832596"/>
    <w:rsid w:val="278C1620"/>
    <w:rsid w:val="27972E83"/>
    <w:rsid w:val="279B1E53"/>
    <w:rsid w:val="279C5F0C"/>
    <w:rsid w:val="279E0177"/>
    <w:rsid w:val="27AA3521"/>
    <w:rsid w:val="27AB7429"/>
    <w:rsid w:val="27B10D86"/>
    <w:rsid w:val="27C57B2B"/>
    <w:rsid w:val="27C8029E"/>
    <w:rsid w:val="27CC78AC"/>
    <w:rsid w:val="27D72FE7"/>
    <w:rsid w:val="27D86029"/>
    <w:rsid w:val="27DD45ED"/>
    <w:rsid w:val="27E3651B"/>
    <w:rsid w:val="27E864CC"/>
    <w:rsid w:val="27EC25E3"/>
    <w:rsid w:val="27ED0939"/>
    <w:rsid w:val="27F11EB1"/>
    <w:rsid w:val="27F1498B"/>
    <w:rsid w:val="27F80CA0"/>
    <w:rsid w:val="28021134"/>
    <w:rsid w:val="2802750E"/>
    <w:rsid w:val="28027A71"/>
    <w:rsid w:val="280A12DF"/>
    <w:rsid w:val="28171FD2"/>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0A149F"/>
    <w:rsid w:val="2918726D"/>
    <w:rsid w:val="2920545D"/>
    <w:rsid w:val="294E766A"/>
    <w:rsid w:val="2952590A"/>
    <w:rsid w:val="295545AF"/>
    <w:rsid w:val="297161D3"/>
    <w:rsid w:val="2978319A"/>
    <w:rsid w:val="29886D49"/>
    <w:rsid w:val="29897A2F"/>
    <w:rsid w:val="29941CD9"/>
    <w:rsid w:val="29A015B3"/>
    <w:rsid w:val="29A02DFF"/>
    <w:rsid w:val="29A3014B"/>
    <w:rsid w:val="29A74CBD"/>
    <w:rsid w:val="29A80BF5"/>
    <w:rsid w:val="29B01C34"/>
    <w:rsid w:val="29B16357"/>
    <w:rsid w:val="29BA0D88"/>
    <w:rsid w:val="29BB3E72"/>
    <w:rsid w:val="29C83675"/>
    <w:rsid w:val="29CF32B2"/>
    <w:rsid w:val="29DE15A2"/>
    <w:rsid w:val="29EC475A"/>
    <w:rsid w:val="29EF3680"/>
    <w:rsid w:val="29EF424E"/>
    <w:rsid w:val="29FA7F26"/>
    <w:rsid w:val="2A0B7871"/>
    <w:rsid w:val="2A166823"/>
    <w:rsid w:val="2A2D25D3"/>
    <w:rsid w:val="2A35650F"/>
    <w:rsid w:val="2A405845"/>
    <w:rsid w:val="2A4562D4"/>
    <w:rsid w:val="2A4D593F"/>
    <w:rsid w:val="2A575627"/>
    <w:rsid w:val="2A6C2D77"/>
    <w:rsid w:val="2A6E31F8"/>
    <w:rsid w:val="2A7270B7"/>
    <w:rsid w:val="2A87174E"/>
    <w:rsid w:val="2A8A2F9C"/>
    <w:rsid w:val="2AA45D17"/>
    <w:rsid w:val="2AAB3B94"/>
    <w:rsid w:val="2AAC5A06"/>
    <w:rsid w:val="2AB775FB"/>
    <w:rsid w:val="2ABB3D6F"/>
    <w:rsid w:val="2ABD1BB5"/>
    <w:rsid w:val="2AC44459"/>
    <w:rsid w:val="2AC70B30"/>
    <w:rsid w:val="2AC90642"/>
    <w:rsid w:val="2ACC2AAF"/>
    <w:rsid w:val="2AD74744"/>
    <w:rsid w:val="2AD91AC2"/>
    <w:rsid w:val="2AE57C95"/>
    <w:rsid w:val="2AF34B3D"/>
    <w:rsid w:val="2AF35C8B"/>
    <w:rsid w:val="2B03276C"/>
    <w:rsid w:val="2B055F4D"/>
    <w:rsid w:val="2B0C0EEE"/>
    <w:rsid w:val="2B112D02"/>
    <w:rsid w:val="2B116B71"/>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85A81"/>
    <w:rsid w:val="2B8B422C"/>
    <w:rsid w:val="2BA07D38"/>
    <w:rsid w:val="2BA11C0B"/>
    <w:rsid w:val="2BC40957"/>
    <w:rsid w:val="2BCA5C66"/>
    <w:rsid w:val="2BCB5DAA"/>
    <w:rsid w:val="2BD65380"/>
    <w:rsid w:val="2BD86372"/>
    <w:rsid w:val="2BDA39FD"/>
    <w:rsid w:val="2BE725D0"/>
    <w:rsid w:val="2BF369B9"/>
    <w:rsid w:val="2BFC0A4A"/>
    <w:rsid w:val="2C094904"/>
    <w:rsid w:val="2C0E55A1"/>
    <w:rsid w:val="2C346DB5"/>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0C0B"/>
    <w:rsid w:val="2CB268EE"/>
    <w:rsid w:val="2CB31FCE"/>
    <w:rsid w:val="2CB600FC"/>
    <w:rsid w:val="2CCB6E18"/>
    <w:rsid w:val="2CCF5C52"/>
    <w:rsid w:val="2CE8526F"/>
    <w:rsid w:val="2D024DC7"/>
    <w:rsid w:val="2D026315"/>
    <w:rsid w:val="2D0764BD"/>
    <w:rsid w:val="2D0A3DA2"/>
    <w:rsid w:val="2D0B3169"/>
    <w:rsid w:val="2D0D4219"/>
    <w:rsid w:val="2D105AFA"/>
    <w:rsid w:val="2D2279B8"/>
    <w:rsid w:val="2D274320"/>
    <w:rsid w:val="2D2D2DE2"/>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19011B"/>
    <w:rsid w:val="2E34792A"/>
    <w:rsid w:val="2E376AEB"/>
    <w:rsid w:val="2E437E73"/>
    <w:rsid w:val="2E4A5201"/>
    <w:rsid w:val="2E5034DC"/>
    <w:rsid w:val="2E572AB9"/>
    <w:rsid w:val="2E59712E"/>
    <w:rsid w:val="2E600E38"/>
    <w:rsid w:val="2E7258DC"/>
    <w:rsid w:val="2E7545D2"/>
    <w:rsid w:val="2E79458E"/>
    <w:rsid w:val="2E797A78"/>
    <w:rsid w:val="2E7A5F31"/>
    <w:rsid w:val="2E7C6A94"/>
    <w:rsid w:val="2E8321A5"/>
    <w:rsid w:val="2E8475EF"/>
    <w:rsid w:val="2E8D14A8"/>
    <w:rsid w:val="2E945711"/>
    <w:rsid w:val="2E95430E"/>
    <w:rsid w:val="2E9A2060"/>
    <w:rsid w:val="2E9F6D95"/>
    <w:rsid w:val="2EAB4183"/>
    <w:rsid w:val="2EAE350B"/>
    <w:rsid w:val="2EB20A6C"/>
    <w:rsid w:val="2EBC2287"/>
    <w:rsid w:val="2EC3466D"/>
    <w:rsid w:val="2EC44440"/>
    <w:rsid w:val="2ECA3116"/>
    <w:rsid w:val="2EDD7896"/>
    <w:rsid w:val="2EEA6E65"/>
    <w:rsid w:val="2EF128CC"/>
    <w:rsid w:val="2EF33C7C"/>
    <w:rsid w:val="2F00052B"/>
    <w:rsid w:val="2F0367CD"/>
    <w:rsid w:val="2F1251F2"/>
    <w:rsid w:val="2F2B7A9B"/>
    <w:rsid w:val="2F2D445E"/>
    <w:rsid w:val="2F3F3A2E"/>
    <w:rsid w:val="2F4B20A5"/>
    <w:rsid w:val="2F4F6FBB"/>
    <w:rsid w:val="2F5A00E5"/>
    <w:rsid w:val="2F664E2B"/>
    <w:rsid w:val="2F6C7BE3"/>
    <w:rsid w:val="2F783485"/>
    <w:rsid w:val="2F7A17CB"/>
    <w:rsid w:val="2F7A78AC"/>
    <w:rsid w:val="2F7F5C0B"/>
    <w:rsid w:val="2F895685"/>
    <w:rsid w:val="2F9A13B4"/>
    <w:rsid w:val="2FA6492D"/>
    <w:rsid w:val="2FB85EC1"/>
    <w:rsid w:val="2FC86676"/>
    <w:rsid w:val="2FD17A1B"/>
    <w:rsid w:val="2FD71CA4"/>
    <w:rsid w:val="2FDC432A"/>
    <w:rsid w:val="2FDC4A8D"/>
    <w:rsid w:val="2FE27109"/>
    <w:rsid w:val="2FEA743A"/>
    <w:rsid w:val="2FF24D11"/>
    <w:rsid w:val="2FF93066"/>
    <w:rsid w:val="30037AB4"/>
    <w:rsid w:val="301742B2"/>
    <w:rsid w:val="301A1509"/>
    <w:rsid w:val="301A71CE"/>
    <w:rsid w:val="301D63DD"/>
    <w:rsid w:val="301E049B"/>
    <w:rsid w:val="302A4BE6"/>
    <w:rsid w:val="304478EC"/>
    <w:rsid w:val="304E2AF2"/>
    <w:rsid w:val="304F4511"/>
    <w:rsid w:val="30515C8E"/>
    <w:rsid w:val="305823FF"/>
    <w:rsid w:val="30830761"/>
    <w:rsid w:val="30926F91"/>
    <w:rsid w:val="30962F3E"/>
    <w:rsid w:val="30A85733"/>
    <w:rsid w:val="30AA2585"/>
    <w:rsid w:val="30BD4333"/>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A50EFF"/>
    <w:rsid w:val="31A92721"/>
    <w:rsid w:val="31A9328B"/>
    <w:rsid w:val="31B718F2"/>
    <w:rsid w:val="31C57B88"/>
    <w:rsid w:val="31D20051"/>
    <w:rsid w:val="31E745D2"/>
    <w:rsid w:val="31EF7EE8"/>
    <w:rsid w:val="3201404F"/>
    <w:rsid w:val="320901F5"/>
    <w:rsid w:val="320B7CCB"/>
    <w:rsid w:val="32105DE8"/>
    <w:rsid w:val="322E2721"/>
    <w:rsid w:val="3235187E"/>
    <w:rsid w:val="3237186B"/>
    <w:rsid w:val="323B6798"/>
    <w:rsid w:val="32537B57"/>
    <w:rsid w:val="32547AE0"/>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883435"/>
    <w:rsid w:val="33A47053"/>
    <w:rsid w:val="33AD5111"/>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D1D4E"/>
    <w:rsid w:val="350F6258"/>
    <w:rsid w:val="351849C1"/>
    <w:rsid w:val="351A603C"/>
    <w:rsid w:val="351E2B92"/>
    <w:rsid w:val="35227705"/>
    <w:rsid w:val="352821F6"/>
    <w:rsid w:val="3533698A"/>
    <w:rsid w:val="35387F19"/>
    <w:rsid w:val="3539550B"/>
    <w:rsid w:val="353C298A"/>
    <w:rsid w:val="354D5E0E"/>
    <w:rsid w:val="355D10E3"/>
    <w:rsid w:val="356111B6"/>
    <w:rsid w:val="356150BC"/>
    <w:rsid w:val="356678B4"/>
    <w:rsid w:val="3573649F"/>
    <w:rsid w:val="357E4B0A"/>
    <w:rsid w:val="35866D7F"/>
    <w:rsid w:val="358F6BDF"/>
    <w:rsid w:val="35A440D7"/>
    <w:rsid w:val="35C06D50"/>
    <w:rsid w:val="35CD6F14"/>
    <w:rsid w:val="35D24294"/>
    <w:rsid w:val="35D71152"/>
    <w:rsid w:val="35DB0628"/>
    <w:rsid w:val="35F325E5"/>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B60AD"/>
    <w:rsid w:val="368F7E4F"/>
    <w:rsid w:val="36985297"/>
    <w:rsid w:val="369F633B"/>
    <w:rsid w:val="36A30FDB"/>
    <w:rsid w:val="36A7007C"/>
    <w:rsid w:val="36AC6F8B"/>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4F25D9"/>
    <w:rsid w:val="37503E6C"/>
    <w:rsid w:val="3758590A"/>
    <w:rsid w:val="375E77B2"/>
    <w:rsid w:val="37602E60"/>
    <w:rsid w:val="37611796"/>
    <w:rsid w:val="37625C1C"/>
    <w:rsid w:val="377519F1"/>
    <w:rsid w:val="377B528D"/>
    <w:rsid w:val="377D206E"/>
    <w:rsid w:val="377D4DA8"/>
    <w:rsid w:val="378229A7"/>
    <w:rsid w:val="3784394E"/>
    <w:rsid w:val="37852032"/>
    <w:rsid w:val="37946975"/>
    <w:rsid w:val="37987437"/>
    <w:rsid w:val="379F33FC"/>
    <w:rsid w:val="37A432E4"/>
    <w:rsid w:val="37A5497F"/>
    <w:rsid w:val="37A86196"/>
    <w:rsid w:val="37AA7333"/>
    <w:rsid w:val="37C94031"/>
    <w:rsid w:val="37CA042E"/>
    <w:rsid w:val="37CA2635"/>
    <w:rsid w:val="37D44549"/>
    <w:rsid w:val="37D77B09"/>
    <w:rsid w:val="37D931A8"/>
    <w:rsid w:val="37D97EDE"/>
    <w:rsid w:val="37E76E34"/>
    <w:rsid w:val="37EA14D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DA5EC3"/>
    <w:rsid w:val="38E40A5B"/>
    <w:rsid w:val="38E51952"/>
    <w:rsid w:val="38F16A28"/>
    <w:rsid w:val="3913128B"/>
    <w:rsid w:val="391A3359"/>
    <w:rsid w:val="39285D57"/>
    <w:rsid w:val="39315D4D"/>
    <w:rsid w:val="394B6470"/>
    <w:rsid w:val="395C6EA8"/>
    <w:rsid w:val="39752B81"/>
    <w:rsid w:val="39872512"/>
    <w:rsid w:val="39A602F9"/>
    <w:rsid w:val="39AF6354"/>
    <w:rsid w:val="39BD45C8"/>
    <w:rsid w:val="39C2316A"/>
    <w:rsid w:val="39D30B18"/>
    <w:rsid w:val="39DD07F2"/>
    <w:rsid w:val="39F36281"/>
    <w:rsid w:val="39FD376D"/>
    <w:rsid w:val="39FD6C9C"/>
    <w:rsid w:val="39FF6B36"/>
    <w:rsid w:val="3A0224B9"/>
    <w:rsid w:val="3A0526B5"/>
    <w:rsid w:val="3A14011B"/>
    <w:rsid w:val="3A1509F4"/>
    <w:rsid w:val="3A16728B"/>
    <w:rsid w:val="3A16794C"/>
    <w:rsid w:val="3A1F6809"/>
    <w:rsid w:val="3A226969"/>
    <w:rsid w:val="3A331B72"/>
    <w:rsid w:val="3A3A2C04"/>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EA6C26"/>
    <w:rsid w:val="3AF240EF"/>
    <w:rsid w:val="3AF7667E"/>
    <w:rsid w:val="3B113F51"/>
    <w:rsid w:val="3B192990"/>
    <w:rsid w:val="3B251957"/>
    <w:rsid w:val="3B2D3716"/>
    <w:rsid w:val="3B307112"/>
    <w:rsid w:val="3B307FDD"/>
    <w:rsid w:val="3B3D1A41"/>
    <w:rsid w:val="3B3E5BDD"/>
    <w:rsid w:val="3B552653"/>
    <w:rsid w:val="3B5A2A22"/>
    <w:rsid w:val="3B5D01C0"/>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D002E"/>
    <w:rsid w:val="3BF04608"/>
    <w:rsid w:val="3C0429BF"/>
    <w:rsid w:val="3C066389"/>
    <w:rsid w:val="3C0D66FC"/>
    <w:rsid w:val="3C120C48"/>
    <w:rsid w:val="3C1A201A"/>
    <w:rsid w:val="3C276807"/>
    <w:rsid w:val="3C2D0CA4"/>
    <w:rsid w:val="3C306E2F"/>
    <w:rsid w:val="3C3274E5"/>
    <w:rsid w:val="3C371D4B"/>
    <w:rsid w:val="3C382561"/>
    <w:rsid w:val="3C3B4B9D"/>
    <w:rsid w:val="3C3F772B"/>
    <w:rsid w:val="3C413C82"/>
    <w:rsid w:val="3C471C36"/>
    <w:rsid w:val="3C497A65"/>
    <w:rsid w:val="3C4B0140"/>
    <w:rsid w:val="3C4D66ED"/>
    <w:rsid w:val="3C577D11"/>
    <w:rsid w:val="3C5A6B66"/>
    <w:rsid w:val="3C6472A5"/>
    <w:rsid w:val="3C734413"/>
    <w:rsid w:val="3C7A6E5A"/>
    <w:rsid w:val="3C7F2075"/>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B7A72"/>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04CC7"/>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41CCE"/>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DA15CE"/>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93D52"/>
    <w:rsid w:val="3FBA1D11"/>
    <w:rsid w:val="3FC36557"/>
    <w:rsid w:val="3FC956FF"/>
    <w:rsid w:val="3FD13F50"/>
    <w:rsid w:val="3FDC5F31"/>
    <w:rsid w:val="3FE04625"/>
    <w:rsid w:val="3FE1398F"/>
    <w:rsid w:val="3FE86CE8"/>
    <w:rsid w:val="3FEF3DCD"/>
    <w:rsid w:val="3FF148F7"/>
    <w:rsid w:val="3FFB0F66"/>
    <w:rsid w:val="40022F93"/>
    <w:rsid w:val="400E6DDA"/>
    <w:rsid w:val="40146E6B"/>
    <w:rsid w:val="40225B50"/>
    <w:rsid w:val="403052F1"/>
    <w:rsid w:val="40330D29"/>
    <w:rsid w:val="40422CFC"/>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EC7D18"/>
    <w:rsid w:val="40ED11A0"/>
    <w:rsid w:val="40F92E97"/>
    <w:rsid w:val="40FD1BF0"/>
    <w:rsid w:val="41015E92"/>
    <w:rsid w:val="41096BC0"/>
    <w:rsid w:val="410A75B6"/>
    <w:rsid w:val="410B452A"/>
    <w:rsid w:val="41146D26"/>
    <w:rsid w:val="411B6EDC"/>
    <w:rsid w:val="413353F1"/>
    <w:rsid w:val="414C0B0E"/>
    <w:rsid w:val="414D35F5"/>
    <w:rsid w:val="41513BC9"/>
    <w:rsid w:val="416646D7"/>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322AB7"/>
    <w:rsid w:val="424154E1"/>
    <w:rsid w:val="42494A4D"/>
    <w:rsid w:val="424B5824"/>
    <w:rsid w:val="42616DD3"/>
    <w:rsid w:val="426973AD"/>
    <w:rsid w:val="426F56CA"/>
    <w:rsid w:val="42702D0D"/>
    <w:rsid w:val="427A67A1"/>
    <w:rsid w:val="427E0B36"/>
    <w:rsid w:val="429F2355"/>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44AA"/>
    <w:rsid w:val="43296963"/>
    <w:rsid w:val="4332317A"/>
    <w:rsid w:val="433246A0"/>
    <w:rsid w:val="433E7EE2"/>
    <w:rsid w:val="433F6B54"/>
    <w:rsid w:val="43424AD7"/>
    <w:rsid w:val="4346543A"/>
    <w:rsid w:val="43533E29"/>
    <w:rsid w:val="43561E16"/>
    <w:rsid w:val="435B1259"/>
    <w:rsid w:val="436263D5"/>
    <w:rsid w:val="437556C4"/>
    <w:rsid w:val="43874CD4"/>
    <w:rsid w:val="438B3B72"/>
    <w:rsid w:val="439B699F"/>
    <w:rsid w:val="439D3E18"/>
    <w:rsid w:val="439F1200"/>
    <w:rsid w:val="43AE320F"/>
    <w:rsid w:val="43AF2D32"/>
    <w:rsid w:val="43B13512"/>
    <w:rsid w:val="43B26B9C"/>
    <w:rsid w:val="43B75B9D"/>
    <w:rsid w:val="43B76E4F"/>
    <w:rsid w:val="43CF0206"/>
    <w:rsid w:val="43D50BA1"/>
    <w:rsid w:val="43D85D6D"/>
    <w:rsid w:val="43EC6F1F"/>
    <w:rsid w:val="43F071E5"/>
    <w:rsid w:val="43F124F2"/>
    <w:rsid w:val="43FE44BA"/>
    <w:rsid w:val="43FE63A7"/>
    <w:rsid w:val="440656C2"/>
    <w:rsid w:val="440D5045"/>
    <w:rsid w:val="440F6C97"/>
    <w:rsid w:val="44300615"/>
    <w:rsid w:val="44371929"/>
    <w:rsid w:val="443740AF"/>
    <w:rsid w:val="44480935"/>
    <w:rsid w:val="444851FA"/>
    <w:rsid w:val="445176FA"/>
    <w:rsid w:val="4457629F"/>
    <w:rsid w:val="445E4DEE"/>
    <w:rsid w:val="44640994"/>
    <w:rsid w:val="446B0434"/>
    <w:rsid w:val="44756A66"/>
    <w:rsid w:val="44787548"/>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0B0825"/>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004A6"/>
    <w:rsid w:val="45743BE6"/>
    <w:rsid w:val="4575513B"/>
    <w:rsid w:val="45761EDD"/>
    <w:rsid w:val="457A7286"/>
    <w:rsid w:val="457B06AA"/>
    <w:rsid w:val="457C7D39"/>
    <w:rsid w:val="458667C4"/>
    <w:rsid w:val="458F5163"/>
    <w:rsid w:val="45934E4A"/>
    <w:rsid w:val="459405E3"/>
    <w:rsid w:val="45977EC5"/>
    <w:rsid w:val="459C5A47"/>
    <w:rsid w:val="45A82F38"/>
    <w:rsid w:val="45B047D1"/>
    <w:rsid w:val="45B77545"/>
    <w:rsid w:val="45BE610C"/>
    <w:rsid w:val="45BE6191"/>
    <w:rsid w:val="45BE648C"/>
    <w:rsid w:val="45C661BC"/>
    <w:rsid w:val="45CA082F"/>
    <w:rsid w:val="45CD2126"/>
    <w:rsid w:val="45CF358A"/>
    <w:rsid w:val="45DD738A"/>
    <w:rsid w:val="45DE3218"/>
    <w:rsid w:val="45E372CD"/>
    <w:rsid w:val="45E8110B"/>
    <w:rsid w:val="45EB6220"/>
    <w:rsid w:val="45FB2D6A"/>
    <w:rsid w:val="460C5979"/>
    <w:rsid w:val="46110AB3"/>
    <w:rsid w:val="46143B66"/>
    <w:rsid w:val="4615371C"/>
    <w:rsid w:val="46214325"/>
    <w:rsid w:val="46223B89"/>
    <w:rsid w:val="4626398E"/>
    <w:rsid w:val="463246EC"/>
    <w:rsid w:val="463425D3"/>
    <w:rsid w:val="463A3547"/>
    <w:rsid w:val="464B28C8"/>
    <w:rsid w:val="464E0973"/>
    <w:rsid w:val="46555DC3"/>
    <w:rsid w:val="46617DB2"/>
    <w:rsid w:val="46621065"/>
    <w:rsid w:val="46665198"/>
    <w:rsid w:val="46697236"/>
    <w:rsid w:val="46770F8B"/>
    <w:rsid w:val="467C16FA"/>
    <w:rsid w:val="46842633"/>
    <w:rsid w:val="4685135B"/>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5823A8"/>
    <w:rsid w:val="476700F2"/>
    <w:rsid w:val="47696F9C"/>
    <w:rsid w:val="476E2D03"/>
    <w:rsid w:val="47714F1F"/>
    <w:rsid w:val="47725A17"/>
    <w:rsid w:val="47731EB5"/>
    <w:rsid w:val="477D3243"/>
    <w:rsid w:val="478821A1"/>
    <w:rsid w:val="479128A9"/>
    <w:rsid w:val="47956820"/>
    <w:rsid w:val="47975EDC"/>
    <w:rsid w:val="47983B19"/>
    <w:rsid w:val="479E2C8A"/>
    <w:rsid w:val="47A3609D"/>
    <w:rsid w:val="47C01792"/>
    <w:rsid w:val="47C57A48"/>
    <w:rsid w:val="47D511BD"/>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9A4289"/>
    <w:rsid w:val="48A4573B"/>
    <w:rsid w:val="48A71C34"/>
    <w:rsid w:val="48A736CF"/>
    <w:rsid w:val="48B116EA"/>
    <w:rsid w:val="48B74C7A"/>
    <w:rsid w:val="48B95FE2"/>
    <w:rsid w:val="48BE32BF"/>
    <w:rsid w:val="48C354EC"/>
    <w:rsid w:val="48D429DD"/>
    <w:rsid w:val="48E01C77"/>
    <w:rsid w:val="48E22285"/>
    <w:rsid w:val="48E50D90"/>
    <w:rsid w:val="48EB0B49"/>
    <w:rsid w:val="48EB0D16"/>
    <w:rsid w:val="48EE46BE"/>
    <w:rsid w:val="48FA15CC"/>
    <w:rsid w:val="48FF0DD1"/>
    <w:rsid w:val="490F071A"/>
    <w:rsid w:val="49142D48"/>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BF718C"/>
    <w:rsid w:val="49C32414"/>
    <w:rsid w:val="49C84AA0"/>
    <w:rsid w:val="49CA7400"/>
    <w:rsid w:val="49CC2C0E"/>
    <w:rsid w:val="49D7694D"/>
    <w:rsid w:val="49D87799"/>
    <w:rsid w:val="49F35D81"/>
    <w:rsid w:val="49F400AC"/>
    <w:rsid w:val="49F9104E"/>
    <w:rsid w:val="4A0244D3"/>
    <w:rsid w:val="4A255046"/>
    <w:rsid w:val="4A2E1525"/>
    <w:rsid w:val="4A315640"/>
    <w:rsid w:val="4A5859A3"/>
    <w:rsid w:val="4A5A756D"/>
    <w:rsid w:val="4A706DE2"/>
    <w:rsid w:val="4A722B4C"/>
    <w:rsid w:val="4A785772"/>
    <w:rsid w:val="4A7A7433"/>
    <w:rsid w:val="4A7E3261"/>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0C003F"/>
    <w:rsid w:val="4B174032"/>
    <w:rsid w:val="4B1D7328"/>
    <w:rsid w:val="4B250CF8"/>
    <w:rsid w:val="4B2873FD"/>
    <w:rsid w:val="4B3D4DE9"/>
    <w:rsid w:val="4B544FDD"/>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8746E"/>
    <w:rsid w:val="4CAB3057"/>
    <w:rsid w:val="4CB531CC"/>
    <w:rsid w:val="4CB80C32"/>
    <w:rsid w:val="4CB96B0F"/>
    <w:rsid w:val="4CBD582C"/>
    <w:rsid w:val="4CC2070B"/>
    <w:rsid w:val="4CC21369"/>
    <w:rsid w:val="4CD1735E"/>
    <w:rsid w:val="4CE34E9F"/>
    <w:rsid w:val="4CEA5790"/>
    <w:rsid w:val="4CF52D94"/>
    <w:rsid w:val="4D075911"/>
    <w:rsid w:val="4D0C6B0F"/>
    <w:rsid w:val="4D1216BD"/>
    <w:rsid w:val="4D231A3E"/>
    <w:rsid w:val="4D2822A5"/>
    <w:rsid w:val="4D3B4B37"/>
    <w:rsid w:val="4D3C254D"/>
    <w:rsid w:val="4D4001E4"/>
    <w:rsid w:val="4D462159"/>
    <w:rsid w:val="4D47409F"/>
    <w:rsid w:val="4D4A535B"/>
    <w:rsid w:val="4D525BE3"/>
    <w:rsid w:val="4D566017"/>
    <w:rsid w:val="4D6022FC"/>
    <w:rsid w:val="4D6748C7"/>
    <w:rsid w:val="4D7D3EFB"/>
    <w:rsid w:val="4D883EF9"/>
    <w:rsid w:val="4D8B0123"/>
    <w:rsid w:val="4D907392"/>
    <w:rsid w:val="4D940DD6"/>
    <w:rsid w:val="4DA561AB"/>
    <w:rsid w:val="4DAF14C5"/>
    <w:rsid w:val="4DB9067A"/>
    <w:rsid w:val="4DC605B6"/>
    <w:rsid w:val="4DCC5532"/>
    <w:rsid w:val="4DD51840"/>
    <w:rsid w:val="4DD732D2"/>
    <w:rsid w:val="4DD973E7"/>
    <w:rsid w:val="4DEC0985"/>
    <w:rsid w:val="4E000105"/>
    <w:rsid w:val="4E0538A3"/>
    <w:rsid w:val="4E0E6818"/>
    <w:rsid w:val="4E27683A"/>
    <w:rsid w:val="4E321D35"/>
    <w:rsid w:val="4E397241"/>
    <w:rsid w:val="4E3C1DE4"/>
    <w:rsid w:val="4E3C2D30"/>
    <w:rsid w:val="4E464E00"/>
    <w:rsid w:val="4E4B2E60"/>
    <w:rsid w:val="4E4C50A3"/>
    <w:rsid w:val="4E4E72A1"/>
    <w:rsid w:val="4E510698"/>
    <w:rsid w:val="4E5623BE"/>
    <w:rsid w:val="4E576363"/>
    <w:rsid w:val="4E59789B"/>
    <w:rsid w:val="4E5C6FF7"/>
    <w:rsid w:val="4E5D49B1"/>
    <w:rsid w:val="4E635567"/>
    <w:rsid w:val="4E674786"/>
    <w:rsid w:val="4E6D0F25"/>
    <w:rsid w:val="4E6F309C"/>
    <w:rsid w:val="4E710F05"/>
    <w:rsid w:val="4E742982"/>
    <w:rsid w:val="4E754F1B"/>
    <w:rsid w:val="4E7F1E8F"/>
    <w:rsid w:val="4E862481"/>
    <w:rsid w:val="4E8C4141"/>
    <w:rsid w:val="4E901714"/>
    <w:rsid w:val="4E93511F"/>
    <w:rsid w:val="4E944F74"/>
    <w:rsid w:val="4E996811"/>
    <w:rsid w:val="4E9C0636"/>
    <w:rsid w:val="4E9D29FB"/>
    <w:rsid w:val="4EA30DB6"/>
    <w:rsid w:val="4EA7341F"/>
    <w:rsid w:val="4EB35A3D"/>
    <w:rsid w:val="4ECD2AFD"/>
    <w:rsid w:val="4EDB58B2"/>
    <w:rsid w:val="4EE471AE"/>
    <w:rsid w:val="4EE925CE"/>
    <w:rsid w:val="4EEB1A94"/>
    <w:rsid w:val="4EEF2E30"/>
    <w:rsid w:val="4EF24828"/>
    <w:rsid w:val="4EFE7F59"/>
    <w:rsid w:val="4F0557AF"/>
    <w:rsid w:val="4F285975"/>
    <w:rsid w:val="4F2A7BF3"/>
    <w:rsid w:val="4F2E2624"/>
    <w:rsid w:val="4F4E1077"/>
    <w:rsid w:val="4F546156"/>
    <w:rsid w:val="4F5B6F39"/>
    <w:rsid w:val="4F64780B"/>
    <w:rsid w:val="4F844A99"/>
    <w:rsid w:val="4F94662C"/>
    <w:rsid w:val="4FAB774E"/>
    <w:rsid w:val="4FB00163"/>
    <w:rsid w:val="4FB208E7"/>
    <w:rsid w:val="4FE30332"/>
    <w:rsid w:val="4FE70BB4"/>
    <w:rsid w:val="4FE73C01"/>
    <w:rsid w:val="4FE76D51"/>
    <w:rsid w:val="4FE87C31"/>
    <w:rsid w:val="4FF03F98"/>
    <w:rsid w:val="4FF14DCF"/>
    <w:rsid w:val="50062EF6"/>
    <w:rsid w:val="5008113B"/>
    <w:rsid w:val="500815B6"/>
    <w:rsid w:val="500A7223"/>
    <w:rsid w:val="500B39BC"/>
    <w:rsid w:val="500C204A"/>
    <w:rsid w:val="50117829"/>
    <w:rsid w:val="501502DD"/>
    <w:rsid w:val="501A2172"/>
    <w:rsid w:val="502173F8"/>
    <w:rsid w:val="5022123F"/>
    <w:rsid w:val="502B7315"/>
    <w:rsid w:val="503E570B"/>
    <w:rsid w:val="503F32CF"/>
    <w:rsid w:val="503F62FD"/>
    <w:rsid w:val="5041152A"/>
    <w:rsid w:val="504A1A7A"/>
    <w:rsid w:val="504C77D2"/>
    <w:rsid w:val="50560460"/>
    <w:rsid w:val="505D11A3"/>
    <w:rsid w:val="50601A5C"/>
    <w:rsid w:val="507055F2"/>
    <w:rsid w:val="507E1B25"/>
    <w:rsid w:val="508E3B94"/>
    <w:rsid w:val="508E4492"/>
    <w:rsid w:val="5090223F"/>
    <w:rsid w:val="50924591"/>
    <w:rsid w:val="50A578DE"/>
    <w:rsid w:val="50A649F5"/>
    <w:rsid w:val="50AB5EB6"/>
    <w:rsid w:val="50AE6FE2"/>
    <w:rsid w:val="50B16618"/>
    <w:rsid w:val="50BB6306"/>
    <w:rsid w:val="50C12EDC"/>
    <w:rsid w:val="50CD2E4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F6CC6"/>
    <w:rsid w:val="51471753"/>
    <w:rsid w:val="514E4912"/>
    <w:rsid w:val="51510FA1"/>
    <w:rsid w:val="515400FF"/>
    <w:rsid w:val="515441FE"/>
    <w:rsid w:val="515D735D"/>
    <w:rsid w:val="5161556E"/>
    <w:rsid w:val="51631E12"/>
    <w:rsid w:val="516516D5"/>
    <w:rsid w:val="516A5418"/>
    <w:rsid w:val="516F4764"/>
    <w:rsid w:val="51781A83"/>
    <w:rsid w:val="51867298"/>
    <w:rsid w:val="51894D69"/>
    <w:rsid w:val="518D21E1"/>
    <w:rsid w:val="518E6224"/>
    <w:rsid w:val="51930297"/>
    <w:rsid w:val="51953936"/>
    <w:rsid w:val="519E116A"/>
    <w:rsid w:val="51A2793A"/>
    <w:rsid w:val="51B71820"/>
    <w:rsid w:val="51BA0CB7"/>
    <w:rsid w:val="51CA4619"/>
    <w:rsid w:val="51D129CA"/>
    <w:rsid w:val="51D75253"/>
    <w:rsid w:val="51D93F8A"/>
    <w:rsid w:val="51E5046A"/>
    <w:rsid w:val="51F6353C"/>
    <w:rsid w:val="520D7B42"/>
    <w:rsid w:val="52175F05"/>
    <w:rsid w:val="52272B85"/>
    <w:rsid w:val="52284E31"/>
    <w:rsid w:val="522A5519"/>
    <w:rsid w:val="522E2CD6"/>
    <w:rsid w:val="523E09B5"/>
    <w:rsid w:val="524053B4"/>
    <w:rsid w:val="52431715"/>
    <w:rsid w:val="52687B2A"/>
    <w:rsid w:val="526E0E82"/>
    <w:rsid w:val="527901C6"/>
    <w:rsid w:val="528241AF"/>
    <w:rsid w:val="52831D64"/>
    <w:rsid w:val="528F4A24"/>
    <w:rsid w:val="52944BB6"/>
    <w:rsid w:val="529C012B"/>
    <w:rsid w:val="52A24532"/>
    <w:rsid w:val="52A611A1"/>
    <w:rsid w:val="52AB4331"/>
    <w:rsid w:val="52AC5750"/>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D696C"/>
    <w:rsid w:val="532F77EA"/>
    <w:rsid w:val="53367575"/>
    <w:rsid w:val="533933AA"/>
    <w:rsid w:val="533B7F54"/>
    <w:rsid w:val="533D2D66"/>
    <w:rsid w:val="535009E1"/>
    <w:rsid w:val="53504048"/>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8B56DB"/>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A4479"/>
    <w:rsid w:val="551B7F0A"/>
    <w:rsid w:val="552A6B56"/>
    <w:rsid w:val="55314F13"/>
    <w:rsid w:val="5532385A"/>
    <w:rsid w:val="55381D42"/>
    <w:rsid w:val="55401B14"/>
    <w:rsid w:val="554748F2"/>
    <w:rsid w:val="554D414C"/>
    <w:rsid w:val="554E7279"/>
    <w:rsid w:val="55594FFB"/>
    <w:rsid w:val="55637CEB"/>
    <w:rsid w:val="55677DDA"/>
    <w:rsid w:val="55757FB9"/>
    <w:rsid w:val="55836DAB"/>
    <w:rsid w:val="55884237"/>
    <w:rsid w:val="558B1E31"/>
    <w:rsid w:val="558C7FAA"/>
    <w:rsid w:val="558F49B0"/>
    <w:rsid w:val="55900510"/>
    <w:rsid w:val="55947881"/>
    <w:rsid w:val="55A25EB7"/>
    <w:rsid w:val="55A82784"/>
    <w:rsid w:val="55A97512"/>
    <w:rsid w:val="55B63FD5"/>
    <w:rsid w:val="55C35A76"/>
    <w:rsid w:val="55C833CF"/>
    <w:rsid w:val="55D40743"/>
    <w:rsid w:val="55DD6F2A"/>
    <w:rsid w:val="55E73480"/>
    <w:rsid w:val="55E8339E"/>
    <w:rsid w:val="55F06771"/>
    <w:rsid w:val="55F61F1C"/>
    <w:rsid w:val="560C022B"/>
    <w:rsid w:val="560D5F48"/>
    <w:rsid w:val="56106284"/>
    <w:rsid w:val="56182852"/>
    <w:rsid w:val="5632642A"/>
    <w:rsid w:val="56375B61"/>
    <w:rsid w:val="564944F4"/>
    <w:rsid w:val="564E5820"/>
    <w:rsid w:val="565104C5"/>
    <w:rsid w:val="56630C00"/>
    <w:rsid w:val="56721038"/>
    <w:rsid w:val="56737DF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2657E3"/>
    <w:rsid w:val="5732705F"/>
    <w:rsid w:val="57351D6F"/>
    <w:rsid w:val="573B7F99"/>
    <w:rsid w:val="57541FA4"/>
    <w:rsid w:val="576476C1"/>
    <w:rsid w:val="576E1940"/>
    <w:rsid w:val="57756BF9"/>
    <w:rsid w:val="57770501"/>
    <w:rsid w:val="577B3337"/>
    <w:rsid w:val="577D4F28"/>
    <w:rsid w:val="57A33734"/>
    <w:rsid w:val="57AB6ADD"/>
    <w:rsid w:val="57B7178E"/>
    <w:rsid w:val="57B76EED"/>
    <w:rsid w:val="57BD72A7"/>
    <w:rsid w:val="57BE5838"/>
    <w:rsid w:val="57BF764E"/>
    <w:rsid w:val="57CB35DF"/>
    <w:rsid w:val="57D82354"/>
    <w:rsid w:val="57F14720"/>
    <w:rsid w:val="57FC07D9"/>
    <w:rsid w:val="57FF6992"/>
    <w:rsid w:val="58036FF1"/>
    <w:rsid w:val="580F1B21"/>
    <w:rsid w:val="581B7E79"/>
    <w:rsid w:val="5837438C"/>
    <w:rsid w:val="58420FA1"/>
    <w:rsid w:val="58500F22"/>
    <w:rsid w:val="585809EC"/>
    <w:rsid w:val="58587379"/>
    <w:rsid w:val="585D72B5"/>
    <w:rsid w:val="586D57A3"/>
    <w:rsid w:val="587917A0"/>
    <w:rsid w:val="587A4288"/>
    <w:rsid w:val="5880052B"/>
    <w:rsid w:val="588E3967"/>
    <w:rsid w:val="5899112E"/>
    <w:rsid w:val="589E7444"/>
    <w:rsid w:val="58AD27D9"/>
    <w:rsid w:val="58B169A2"/>
    <w:rsid w:val="58B9636C"/>
    <w:rsid w:val="58C37133"/>
    <w:rsid w:val="58C93046"/>
    <w:rsid w:val="58D36BCB"/>
    <w:rsid w:val="58D8157C"/>
    <w:rsid w:val="58E11166"/>
    <w:rsid w:val="58E6349C"/>
    <w:rsid w:val="58E83DEC"/>
    <w:rsid w:val="58EF63EE"/>
    <w:rsid w:val="590317F0"/>
    <w:rsid w:val="59075000"/>
    <w:rsid w:val="5910664F"/>
    <w:rsid w:val="593559FD"/>
    <w:rsid w:val="593A45DB"/>
    <w:rsid w:val="594079B2"/>
    <w:rsid w:val="595B45EE"/>
    <w:rsid w:val="596A688E"/>
    <w:rsid w:val="59860400"/>
    <w:rsid w:val="5987482A"/>
    <w:rsid w:val="598A58C2"/>
    <w:rsid w:val="598C6F19"/>
    <w:rsid w:val="599C49A8"/>
    <w:rsid w:val="59A252D5"/>
    <w:rsid w:val="59A36725"/>
    <w:rsid w:val="59AD4E2E"/>
    <w:rsid w:val="59B14918"/>
    <w:rsid w:val="59B21BF9"/>
    <w:rsid w:val="59B45AB9"/>
    <w:rsid w:val="59B80C41"/>
    <w:rsid w:val="59BB4EA3"/>
    <w:rsid w:val="59C02FE0"/>
    <w:rsid w:val="59D02B0C"/>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BC50F4"/>
    <w:rsid w:val="5ACC4940"/>
    <w:rsid w:val="5ACD3CD2"/>
    <w:rsid w:val="5AD7333E"/>
    <w:rsid w:val="5AD838D3"/>
    <w:rsid w:val="5AD86A6D"/>
    <w:rsid w:val="5ADF4325"/>
    <w:rsid w:val="5AE8708E"/>
    <w:rsid w:val="5AEC14F6"/>
    <w:rsid w:val="5AF124A4"/>
    <w:rsid w:val="5B0A4D6B"/>
    <w:rsid w:val="5B141085"/>
    <w:rsid w:val="5B180C1A"/>
    <w:rsid w:val="5B28192B"/>
    <w:rsid w:val="5B342BAD"/>
    <w:rsid w:val="5B392581"/>
    <w:rsid w:val="5B4007EF"/>
    <w:rsid w:val="5B4D1F7C"/>
    <w:rsid w:val="5B51561D"/>
    <w:rsid w:val="5B52164D"/>
    <w:rsid w:val="5B570E24"/>
    <w:rsid w:val="5B607711"/>
    <w:rsid w:val="5B637E94"/>
    <w:rsid w:val="5B66707B"/>
    <w:rsid w:val="5B673066"/>
    <w:rsid w:val="5B6A48A8"/>
    <w:rsid w:val="5B70610D"/>
    <w:rsid w:val="5B731FA9"/>
    <w:rsid w:val="5B7400F5"/>
    <w:rsid w:val="5B785E83"/>
    <w:rsid w:val="5B7C1CD1"/>
    <w:rsid w:val="5B9004A9"/>
    <w:rsid w:val="5B907C6C"/>
    <w:rsid w:val="5B9251EF"/>
    <w:rsid w:val="5BAB5BC4"/>
    <w:rsid w:val="5BAC79AD"/>
    <w:rsid w:val="5BB20B74"/>
    <w:rsid w:val="5BB33170"/>
    <w:rsid w:val="5BC677D8"/>
    <w:rsid w:val="5BC70C17"/>
    <w:rsid w:val="5BD0669E"/>
    <w:rsid w:val="5BEB0120"/>
    <w:rsid w:val="5BEC175C"/>
    <w:rsid w:val="5BEF3E44"/>
    <w:rsid w:val="5BEF69FF"/>
    <w:rsid w:val="5C053E62"/>
    <w:rsid w:val="5C064BA0"/>
    <w:rsid w:val="5C07067E"/>
    <w:rsid w:val="5C075BB6"/>
    <w:rsid w:val="5C08681A"/>
    <w:rsid w:val="5C097C4E"/>
    <w:rsid w:val="5C1A3A93"/>
    <w:rsid w:val="5C235386"/>
    <w:rsid w:val="5C2A4E9F"/>
    <w:rsid w:val="5C37782E"/>
    <w:rsid w:val="5C3B6CFC"/>
    <w:rsid w:val="5C4735D5"/>
    <w:rsid w:val="5C4C2CF4"/>
    <w:rsid w:val="5C6B1600"/>
    <w:rsid w:val="5C6E26BF"/>
    <w:rsid w:val="5C706511"/>
    <w:rsid w:val="5C7D70D1"/>
    <w:rsid w:val="5C8542A8"/>
    <w:rsid w:val="5CA6294E"/>
    <w:rsid w:val="5CCC1DEC"/>
    <w:rsid w:val="5CDB3358"/>
    <w:rsid w:val="5CED4E0C"/>
    <w:rsid w:val="5CEE1DD1"/>
    <w:rsid w:val="5CFF09AB"/>
    <w:rsid w:val="5D034EE9"/>
    <w:rsid w:val="5D0366E8"/>
    <w:rsid w:val="5D08684C"/>
    <w:rsid w:val="5D0A06B6"/>
    <w:rsid w:val="5D125E39"/>
    <w:rsid w:val="5D1307E8"/>
    <w:rsid w:val="5D212A05"/>
    <w:rsid w:val="5D28584C"/>
    <w:rsid w:val="5D2F4802"/>
    <w:rsid w:val="5D32239D"/>
    <w:rsid w:val="5D3444E6"/>
    <w:rsid w:val="5D3543FB"/>
    <w:rsid w:val="5D3F0BDF"/>
    <w:rsid w:val="5D5B7098"/>
    <w:rsid w:val="5D5D62C9"/>
    <w:rsid w:val="5D611B66"/>
    <w:rsid w:val="5D6328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022B4"/>
    <w:rsid w:val="5E237029"/>
    <w:rsid w:val="5E2E6243"/>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664D7"/>
    <w:rsid w:val="5EE836CB"/>
    <w:rsid w:val="5EEA322F"/>
    <w:rsid w:val="5EED7893"/>
    <w:rsid w:val="5EF427A1"/>
    <w:rsid w:val="5EFB2125"/>
    <w:rsid w:val="5EFB6F0A"/>
    <w:rsid w:val="5F0A3A61"/>
    <w:rsid w:val="5F3370DF"/>
    <w:rsid w:val="5F683B6E"/>
    <w:rsid w:val="5F684490"/>
    <w:rsid w:val="5F697EE8"/>
    <w:rsid w:val="5F6D06D6"/>
    <w:rsid w:val="5F6E768C"/>
    <w:rsid w:val="5F875C0C"/>
    <w:rsid w:val="5F8A0701"/>
    <w:rsid w:val="5F8F0B9E"/>
    <w:rsid w:val="5F8F267A"/>
    <w:rsid w:val="5F941274"/>
    <w:rsid w:val="5F9A540B"/>
    <w:rsid w:val="5FA728C2"/>
    <w:rsid w:val="5FAB7F08"/>
    <w:rsid w:val="5FB7185B"/>
    <w:rsid w:val="5FB94C48"/>
    <w:rsid w:val="5FBE576C"/>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2AFD"/>
    <w:rsid w:val="60BA604C"/>
    <w:rsid w:val="60C302BA"/>
    <w:rsid w:val="60C30855"/>
    <w:rsid w:val="60C338B1"/>
    <w:rsid w:val="60C75B5C"/>
    <w:rsid w:val="60D4742F"/>
    <w:rsid w:val="60D67C80"/>
    <w:rsid w:val="60D95276"/>
    <w:rsid w:val="60E06DEB"/>
    <w:rsid w:val="60E51841"/>
    <w:rsid w:val="61110088"/>
    <w:rsid w:val="611647A0"/>
    <w:rsid w:val="612E3732"/>
    <w:rsid w:val="61421EFD"/>
    <w:rsid w:val="614F6F7E"/>
    <w:rsid w:val="615C5041"/>
    <w:rsid w:val="61640524"/>
    <w:rsid w:val="616E656C"/>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4263A2"/>
    <w:rsid w:val="624A544A"/>
    <w:rsid w:val="625272C3"/>
    <w:rsid w:val="626D0F69"/>
    <w:rsid w:val="62715337"/>
    <w:rsid w:val="6280204D"/>
    <w:rsid w:val="6290769B"/>
    <w:rsid w:val="62943ADD"/>
    <w:rsid w:val="62943D08"/>
    <w:rsid w:val="62961CB7"/>
    <w:rsid w:val="629718F1"/>
    <w:rsid w:val="62995E6F"/>
    <w:rsid w:val="62A05735"/>
    <w:rsid w:val="62A411F8"/>
    <w:rsid w:val="62A81A26"/>
    <w:rsid w:val="62B0109F"/>
    <w:rsid w:val="62BA7A46"/>
    <w:rsid w:val="62C376AC"/>
    <w:rsid w:val="62CE13CB"/>
    <w:rsid w:val="62D2197B"/>
    <w:rsid w:val="62DB028F"/>
    <w:rsid w:val="62EE4623"/>
    <w:rsid w:val="62F214BD"/>
    <w:rsid w:val="62F6011A"/>
    <w:rsid w:val="62FD2BA9"/>
    <w:rsid w:val="63064FB6"/>
    <w:rsid w:val="63163DC3"/>
    <w:rsid w:val="6327422B"/>
    <w:rsid w:val="6328597C"/>
    <w:rsid w:val="633B249F"/>
    <w:rsid w:val="633D1842"/>
    <w:rsid w:val="635123F0"/>
    <w:rsid w:val="63552D76"/>
    <w:rsid w:val="6359778B"/>
    <w:rsid w:val="635B63E3"/>
    <w:rsid w:val="63677698"/>
    <w:rsid w:val="636C452A"/>
    <w:rsid w:val="63771D13"/>
    <w:rsid w:val="638C3395"/>
    <w:rsid w:val="63B37325"/>
    <w:rsid w:val="63B82D87"/>
    <w:rsid w:val="63BA3154"/>
    <w:rsid w:val="63CA2E8B"/>
    <w:rsid w:val="63CD39BE"/>
    <w:rsid w:val="63CF097D"/>
    <w:rsid w:val="63CF736D"/>
    <w:rsid w:val="63D4153E"/>
    <w:rsid w:val="63DA0FA3"/>
    <w:rsid w:val="63DC7755"/>
    <w:rsid w:val="63E43D21"/>
    <w:rsid w:val="63E774B3"/>
    <w:rsid w:val="63F47D2A"/>
    <w:rsid w:val="63F6335E"/>
    <w:rsid w:val="63FE2D33"/>
    <w:rsid w:val="64046427"/>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B1AC2"/>
    <w:rsid w:val="649B4C1C"/>
    <w:rsid w:val="64A7467B"/>
    <w:rsid w:val="64B53322"/>
    <w:rsid w:val="64C41B57"/>
    <w:rsid w:val="64C61AF8"/>
    <w:rsid w:val="64C86505"/>
    <w:rsid w:val="64E65F95"/>
    <w:rsid w:val="64EB5728"/>
    <w:rsid w:val="64FB4412"/>
    <w:rsid w:val="64FE700F"/>
    <w:rsid w:val="6500327F"/>
    <w:rsid w:val="6503698F"/>
    <w:rsid w:val="6506609B"/>
    <w:rsid w:val="65083216"/>
    <w:rsid w:val="650A57D3"/>
    <w:rsid w:val="65460728"/>
    <w:rsid w:val="654835A8"/>
    <w:rsid w:val="65733E15"/>
    <w:rsid w:val="65822810"/>
    <w:rsid w:val="65870C45"/>
    <w:rsid w:val="658F6B54"/>
    <w:rsid w:val="659705FF"/>
    <w:rsid w:val="65AA6346"/>
    <w:rsid w:val="65B01B69"/>
    <w:rsid w:val="65B56C47"/>
    <w:rsid w:val="65B7794D"/>
    <w:rsid w:val="65B8262E"/>
    <w:rsid w:val="65BC15EE"/>
    <w:rsid w:val="65CC4C22"/>
    <w:rsid w:val="65D23D59"/>
    <w:rsid w:val="65D4773F"/>
    <w:rsid w:val="65DC5939"/>
    <w:rsid w:val="65DC7985"/>
    <w:rsid w:val="65E41A1C"/>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001AF"/>
    <w:rsid w:val="667C7AEC"/>
    <w:rsid w:val="667F71BA"/>
    <w:rsid w:val="668058B8"/>
    <w:rsid w:val="66863A0F"/>
    <w:rsid w:val="66984358"/>
    <w:rsid w:val="669B7C76"/>
    <w:rsid w:val="66A200F8"/>
    <w:rsid w:val="66A205F5"/>
    <w:rsid w:val="66A30EC2"/>
    <w:rsid w:val="66AA4BA8"/>
    <w:rsid w:val="66C56058"/>
    <w:rsid w:val="66C955BD"/>
    <w:rsid w:val="66CD478C"/>
    <w:rsid w:val="66CF3182"/>
    <w:rsid w:val="66D97420"/>
    <w:rsid w:val="66DC059A"/>
    <w:rsid w:val="66DC317D"/>
    <w:rsid w:val="66DD5461"/>
    <w:rsid w:val="66E10E78"/>
    <w:rsid w:val="66E617C5"/>
    <w:rsid w:val="66E910C9"/>
    <w:rsid w:val="66EC4220"/>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2A4993"/>
    <w:rsid w:val="68445430"/>
    <w:rsid w:val="685B0620"/>
    <w:rsid w:val="685C6395"/>
    <w:rsid w:val="686318DD"/>
    <w:rsid w:val="68635145"/>
    <w:rsid w:val="686D19A4"/>
    <w:rsid w:val="687914A4"/>
    <w:rsid w:val="687A2E65"/>
    <w:rsid w:val="687F607E"/>
    <w:rsid w:val="6887281F"/>
    <w:rsid w:val="688B4E92"/>
    <w:rsid w:val="689565AD"/>
    <w:rsid w:val="689A41FB"/>
    <w:rsid w:val="689E57F0"/>
    <w:rsid w:val="68A34C5C"/>
    <w:rsid w:val="68C93BC5"/>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D31B2E"/>
    <w:rsid w:val="69EB1E1E"/>
    <w:rsid w:val="69F0745A"/>
    <w:rsid w:val="69F764C9"/>
    <w:rsid w:val="6A0D20F2"/>
    <w:rsid w:val="6A1757B7"/>
    <w:rsid w:val="6A1A2066"/>
    <w:rsid w:val="6A1D59EC"/>
    <w:rsid w:val="6A247F72"/>
    <w:rsid w:val="6A286809"/>
    <w:rsid w:val="6A2E5EF8"/>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7D43FA"/>
    <w:rsid w:val="6B8642C7"/>
    <w:rsid w:val="6B874340"/>
    <w:rsid w:val="6B884219"/>
    <w:rsid w:val="6B90781F"/>
    <w:rsid w:val="6B907D18"/>
    <w:rsid w:val="6BA6663C"/>
    <w:rsid w:val="6BA9194F"/>
    <w:rsid w:val="6BAF473A"/>
    <w:rsid w:val="6BB07973"/>
    <w:rsid w:val="6BCA7437"/>
    <w:rsid w:val="6BE727F5"/>
    <w:rsid w:val="6C001608"/>
    <w:rsid w:val="6C08064C"/>
    <w:rsid w:val="6C0858B3"/>
    <w:rsid w:val="6C132D21"/>
    <w:rsid w:val="6C240DF3"/>
    <w:rsid w:val="6C45610F"/>
    <w:rsid w:val="6C546992"/>
    <w:rsid w:val="6C59472D"/>
    <w:rsid w:val="6C5A4564"/>
    <w:rsid w:val="6C5E2B25"/>
    <w:rsid w:val="6C5E7785"/>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A4BCE"/>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B4AB7"/>
    <w:rsid w:val="6D7F5384"/>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AE218A"/>
    <w:rsid w:val="6EB169D3"/>
    <w:rsid w:val="6EB21539"/>
    <w:rsid w:val="6EB829B1"/>
    <w:rsid w:val="6EB978A9"/>
    <w:rsid w:val="6ECC3A24"/>
    <w:rsid w:val="6ED86D3E"/>
    <w:rsid w:val="6EE9744F"/>
    <w:rsid w:val="6EEC3F7C"/>
    <w:rsid w:val="6EF3602C"/>
    <w:rsid w:val="6EFE1485"/>
    <w:rsid w:val="6F0247B3"/>
    <w:rsid w:val="6F031F8E"/>
    <w:rsid w:val="6F09008D"/>
    <w:rsid w:val="6F0D382C"/>
    <w:rsid w:val="6F2632E8"/>
    <w:rsid w:val="6F30363A"/>
    <w:rsid w:val="6F3316E5"/>
    <w:rsid w:val="6F3F40F9"/>
    <w:rsid w:val="6F424B2F"/>
    <w:rsid w:val="6F5E0205"/>
    <w:rsid w:val="6F632569"/>
    <w:rsid w:val="6F635E50"/>
    <w:rsid w:val="6F6F14E1"/>
    <w:rsid w:val="6F76254B"/>
    <w:rsid w:val="6F7C40AC"/>
    <w:rsid w:val="6F8040F4"/>
    <w:rsid w:val="6F877B03"/>
    <w:rsid w:val="6F905BB3"/>
    <w:rsid w:val="6F9A3007"/>
    <w:rsid w:val="6FA629D4"/>
    <w:rsid w:val="6FA75ADB"/>
    <w:rsid w:val="6FAA414F"/>
    <w:rsid w:val="6FB77ED4"/>
    <w:rsid w:val="6FBD3BBF"/>
    <w:rsid w:val="6FBD4D2F"/>
    <w:rsid w:val="6FBF4710"/>
    <w:rsid w:val="6FC9109F"/>
    <w:rsid w:val="6FCC6779"/>
    <w:rsid w:val="6FDB518F"/>
    <w:rsid w:val="6FE529ED"/>
    <w:rsid w:val="6FF733A7"/>
    <w:rsid w:val="70003DD9"/>
    <w:rsid w:val="70072915"/>
    <w:rsid w:val="70172090"/>
    <w:rsid w:val="70195E88"/>
    <w:rsid w:val="701D43BA"/>
    <w:rsid w:val="701E0E96"/>
    <w:rsid w:val="701F75A2"/>
    <w:rsid w:val="702B6F43"/>
    <w:rsid w:val="7032079E"/>
    <w:rsid w:val="70383665"/>
    <w:rsid w:val="703C186A"/>
    <w:rsid w:val="704C34F0"/>
    <w:rsid w:val="70570007"/>
    <w:rsid w:val="705843B4"/>
    <w:rsid w:val="7058635C"/>
    <w:rsid w:val="70611FB0"/>
    <w:rsid w:val="70655A58"/>
    <w:rsid w:val="706A37E5"/>
    <w:rsid w:val="70822BAD"/>
    <w:rsid w:val="708746BC"/>
    <w:rsid w:val="708A15C0"/>
    <w:rsid w:val="708F7F54"/>
    <w:rsid w:val="70926B0B"/>
    <w:rsid w:val="709872D1"/>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115386"/>
    <w:rsid w:val="71126908"/>
    <w:rsid w:val="71151975"/>
    <w:rsid w:val="711D1189"/>
    <w:rsid w:val="712A2C1F"/>
    <w:rsid w:val="712A5215"/>
    <w:rsid w:val="712F2B3D"/>
    <w:rsid w:val="71336A65"/>
    <w:rsid w:val="713A6008"/>
    <w:rsid w:val="7144725F"/>
    <w:rsid w:val="7148395C"/>
    <w:rsid w:val="714B215B"/>
    <w:rsid w:val="714E2D72"/>
    <w:rsid w:val="71545B37"/>
    <w:rsid w:val="71570E43"/>
    <w:rsid w:val="71573E01"/>
    <w:rsid w:val="716F00B2"/>
    <w:rsid w:val="71702748"/>
    <w:rsid w:val="71867894"/>
    <w:rsid w:val="71920F6D"/>
    <w:rsid w:val="7196106A"/>
    <w:rsid w:val="719E0160"/>
    <w:rsid w:val="719F7A78"/>
    <w:rsid w:val="71A03079"/>
    <w:rsid w:val="71AD22C0"/>
    <w:rsid w:val="71B623F6"/>
    <w:rsid w:val="71B84778"/>
    <w:rsid w:val="71C7540C"/>
    <w:rsid w:val="71E857A5"/>
    <w:rsid w:val="71EB0D10"/>
    <w:rsid w:val="71F64A63"/>
    <w:rsid w:val="71F870B8"/>
    <w:rsid w:val="72021233"/>
    <w:rsid w:val="720B2A1D"/>
    <w:rsid w:val="72197AB8"/>
    <w:rsid w:val="72207836"/>
    <w:rsid w:val="72242D83"/>
    <w:rsid w:val="72502F9F"/>
    <w:rsid w:val="7251515C"/>
    <w:rsid w:val="725817D3"/>
    <w:rsid w:val="726E6AD4"/>
    <w:rsid w:val="727C422C"/>
    <w:rsid w:val="7288329F"/>
    <w:rsid w:val="728D72D4"/>
    <w:rsid w:val="728E71EE"/>
    <w:rsid w:val="729121AF"/>
    <w:rsid w:val="7292045A"/>
    <w:rsid w:val="72974DBE"/>
    <w:rsid w:val="72983FF8"/>
    <w:rsid w:val="72985E1E"/>
    <w:rsid w:val="72A20C20"/>
    <w:rsid w:val="72AC5E95"/>
    <w:rsid w:val="72B57AED"/>
    <w:rsid w:val="72BF43E3"/>
    <w:rsid w:val="72C13ED7"/>
    <w:rsid w:val="72CF1AC7"/>
    <w:rsid w:val="72D51F74"/>
    <w:rsid w:val="72D9462C"/>
    <w:rsid w:val="72DC0F93"/>
    <w:rsid w:val="72DD2607"/>
    <w:rsid w:val="72E42AFA"/>
    <w:rsid w:val="72E85578"/>
    <w:rsid w:val="72EB4466"/>
    <w:rsid w:val="72FD426E"/>
    <w:rsid w:val="73043CFC"/>
    <w:rsid w:val="7317244F"/>
    <w:rsid w:val="732B736C"/>
    <w:rsid w:val="732C334F"/>
    <w:rsid w:val="73345810"/>
    <w:rsid w:val="733501BF"/>
    <w:rsid w:val="734F0C79"/>
    <w:rsid w:val="734F4185"/>
    <w:rsid w:val="73520620"/>
    <w:rsid w:val="73536078"/>
    <w:rsid w:val="7363274A"/>
    <w:rsid w:val="7367334C"/>
    <w:rsid w:val="73691A4A"/>
    <w:rsid w:val="7371152B"/>
    <w:rsid w:val="73777B4D"/>
    <w:rsid w:val="738A6895"/>
    <w:rsid w:val="738D1AFA"/>
    <w:rsid w:val="73917325"/>
    <w:rsid w:val="7395427D"/>
    <w:rsid w:val="73AE5485"/>
    <w:rsid w:val="73B1087F"/>
    <w:rsid w:val="73BC7089"/>
    <w:rsid w:val="73BE7067"/>
    <w:rsid w:val="73CC250C"/>
    <w:rsid w:val="73CF4D8D"/>
    <w:rsid w:val="73E406FD"/>
    <w:rsid w:val="73E436B8"/>
    <w:rsid w:val="73E52294"/>
    <w:rsid w:val="73EC5464"/>
    <w:rsid w:val="73F50355"/>
    <w:rsid w:val="73FF2D64"/>
    <w:rsid w:val="74137154"/>
    <w:rsid w:val="741819AA"/>
    <w:rsid w:val="7421310D"/>
    <w:rsid w:val="74257F79"/>
    <w:rsid w:val="74273820"/>
    <w:rsid w:val="7427471C"/>
    <w:rsid w:val="74281B3F"/>
    <w:rsid w:val="742D7CD7"/>
    <w:rsid w:val="74355B0B"/>
    <w:rsid w:val="743C33B0"/>
    <w:rsid w:val="743C7157"/>
    <w:rsid w:val="743C71DA"/>
    <w:rsid w:val="74416F54"/>
    <w:rsid w:val="744B22AD"/>
    <w:rsid w:val="744B354F"/>
    <w:rsid w:val="7450294E"/>
    <w:rsid w:val="7450574F"/>
    <w:rsid w:val="74543139"/>
    <w:rsid w:val="74672BF8"/>
    <w:rsid w:val="746B732F"/>
    <w:rsid w:val="746E18CB"/>
    <w:rsid w:val="746F3904"/>
    <w:rsid w:val="74891562"/>
    <w:rsid w:val="748D52FA"/>
    <w:rsid w:val="74993216"/>
    <w:rsid w:val="74A25132"/>
    <w:rsid w:val="74B44784"/>
    <w:rsid w:val="74B808BF"/>
    <w:rsid w:val="74C03187"/>
    <w:rsid w:val="74E427B4"/>
    <w:rsid w:val="74E4756E"/>
    <w:rsid w:val="74ED19FF"/>
    <w:rsid w:val="75084E8F"/>
    <w:rsid w:val="7509261E"/>
    <w:rsid w:val="75202656"/>
    <w:rsid w:val="752231CE"/>
    <w:rsid w:val="753F3D3B"/>
    <w:rsid w:val="754723D0"/>
    <w:rsid w:val="75482D09"/>
    <w:rsid w:val="75633812"/>
    <w:rsid w:val="756F29D2"/>
    <w:rsid w:val="75752B04"/>
    <w:rsid w:val="757D0536"/>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A4340"/>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7001F24"/>
    <w:rsid w:val="770A6C33"/>
    <w:rsid w:val="771A04D1"/>
    <w:rsid w:val="771B67DF"/>
    <w:rsid w:val="771E64D7"/>
    <w:rsid w:val="7721189D"/>
    <w:rsid w:val="77240552"/>
    <w:rsid w:val="77272CAB"/>
    <w:rsid w:val="772B4341"/>
    <w:rsid w:val="77451578"/>
    <w:rsid w:val="774963F2"/>
    <w:rsid w:val="77576666"/>
    <w:rsid w:val="77636E18"/>
    <w:rsid w:val="776564EF"/>
    <w:rsid w:val="776709A1"/>
    <w:rsid w:val="77674898"/>
    <w:rsid w:val="7768296F"/>
    <w:rsid w:val="77692EA3"/>
    <w:rsid w:val="77695538"/>
    <w:rsid w:val="7773758E"/>
    <w:rsid w:val="77825248"/>
    <w:rsid w:val="7785098B"/>
    <w:rsid w:val="77870D91"/>
    <w:rsid w:val="778A3229"/>
    <w:rsid w:val="779258CC"/>
    <w:rsid w:val="7794068F"/>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0B568B"/>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34D95"/>
    <w:rsid w:val="78C53485"/>
    <w:rsid w:val="78C6693F"/>
    <w:rsid w:val="78C76A01"/>
    <w:rsid w:val="78C9386A"/>
    <w:rsid w:val="78CF6283"/>
    <w:rsid w:val="78D74444"/>
    <w:rsid w:val="78DA30DC"/>
    <w:rsid w:val="78EB5FB1"/>
    <w:rsid w:val="78EC45D8"/>
    <w:rsid w:val="78EC6DF0"/>
    <w:rsid w:val="78F02AF8"/>
    <w:rsid w:val="78F5335B"/>
    <w:rsid w:val="78F554EB"/>
    <w:rsid w:val="78FE60EE"/>
    <w:rsid w:val="78FF5EC9"/>
    <w:rsid w:val="791843E7"/>
    <w:rsid w:val="79233426"/>
    <w:rsid w:val="79260F03"/>
    <w:rsid w:val="792E73F2"/>
    <w:rsid w:val="79395A92"/>
    <w:rsid w:val="793C6522"/>
    <w:rsid w:val="793D65BE"/>
    <w:rsid w:val="794008FB"/>
    <w:rsid w:val="79412D41"/>
    <w:rsid w:val="794708D9"/>
    <w:rsid w:val="794B21A1"/>
    <w:rsid w:val="7964574A"/>
    <w:rsid w:val="79804706"/>
    <w:rsid w:val="79835FC2"/>
    <w:rsid w:val="79840597"/>
    <w:rsid w:val="79846671"/>
    <w:rsid w:val="79941CF2"/>
    <w:rsid w:val="79973382"/>
    <w:rsid w:val="79B4353E"/>
    <w:rsid w:val="79C07B43"/>
    <w:rsid w:val="79C832AC"/>
    <w:rsid w:val="79D33056"/>
    <w:rsid w:val="79D715DF"/>
    <w:rsid w:val="79D85AB0"/>
    <w:rsid w:val="79E16F93"/>
    <w:rsid w:val="79E701E5"/>
    <w:rsid w:val="79EC0256"/>
    <w:rsid w:val="79F60153"/>
    <w:rsid w:val="79FB6E2C"/>
    <w:rsid w:val="79FF7B91"/>
    <w:rsid w:val="7A36322F"/>
    <w:rsid w:val="7A431242"/>
    <w:rsid w:val="7A444657"/>
    <w:rsid w:val="7A450F30"/>
    <w:rsid w:val="7A4B3D21"/>
    <w:rsid w:val="7A4C2D60"/>
    <w:rsid w:val="7A56511A"/>
    <w:rsid w:val="7A5A23BC"/>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07B7F"/>
    <w:rsid w:val="7BAA485C"/>
    <w:rsid w:val="7BAD1591"/>
    <w:rsid w:val="7BB01D87"/>
    <w:rsid w:val="7BCD64C2"/>
    <w:rsid w:val="7BD3716B"/>
    <w:rsid w:val="7BE42529"/>
    <w:rsid w:val="7BEC2711"/>
    <w:rsid w:val="7BF55850"/>
    <w:rsid w:val="7C1054B7"/>
    <w:rsid w:val="7C131E53"/>
    <w:rsid w:val="7C145F2D"/>
    <w:rsid w:val="7C254C3B"/>
    <w:rsid w:val="7C261982"/>
    <w:rsid w:val="7C26369C"/>
    <w:rsid w:val="7C2A465C"/>
    <w:rsid w:val="7C2E06D8"/>
    <w:rsid w:val="7C305879"/>
    <w:rsid w:val="7C34521A"/>
    <w:rsid w:val="7C4067F6"/>
    <w:rsid w:val="7C4674BA"/>
    <w:rsid w:val="7C4A2BD1"/>
    <w:rsid w:val="7C4C0053"/>
    <w:rsid w:val="7C576C70"/>
    <w:rsid w:val="7C6E4349"/>
    <w:rsid w:val="7C77043F"/>
    <w:rsid w:val="7C8A7CDC"/>
    <w:rsid w:val="7C9B5288"/>
    <w:rsid w:val="7C9E5A24"/>
    <w:rsid w:val="7CA745A1"/>
    <w:rsid w:val="7CAF4DCB"/>
    <w:rsid w:val="7CB4006B"/>
    <w:rsid w:val="7CB93ABB"/>
    <w:rsid w:val="7CC475DB"/>
    <w:rsid w:val="7CD36BD6"/>
    <w:rsid w:val="7CDA3A10"/>
    <w:rsid w:val="7CDE3831"/>
    <w:rsid w:val="7CE656F0"/>
    <w:rsid w:val="7CED34FF"/>
    <w:rsid w:val="7CEE5458"/>
    <w:rsid w:val="7CF26588"/>
    <w:rsid w:val="7CF565D7"/>
    <w:rsid w:val="7CF7605D"/>
    <w:rsid w:val="7CF867A7"/>
    <w:rsid w:val="7CFA3A46"/>
    <w:rsid w:val="7CFC78A1"/>
    <w:rsid w:val="7D087164"/>
    <w:rsid w:val="7D0F5720"/>
    <w:rsid w:val="7D180A74"/>
    <w:rsid w:val="7D24652E"/>
    <w:rsid w:val="7D2561FD"/>
    <w:rsid w:val="7D2E198F"/>
    <w:rsid w:val="7D342E03"/>
    <w:rsid w:val="7D3B3737"/>
    <w:rsid w:val="7D3D73AF"/>
    <w:rsid w:val="7D3F6E5D"/>
    <w:rsid w:val="7D5052A6"/>
    <w:rsid w:val="7D514310"/>
    <w:rsid w:val="7D5B27C9"/>
    <w:rsid w:val="7D62117D"/>
    <w:rsid w:val="7D6B7F02"/>
    <w:rsid w:val="7D6F5CEF"/>
    <w:rsid w:val="7D746385"/>
    <w:rsid w:val="7D834A16"/>
    <w:rsid w:val="7D931E10"/>
    <w:rsid w:val="7D9D0A97"/>
    <w:rsid w:val="7D9D1E8D"/>
    <w:rsid w:val="7D9D438F"/>
    <w:rsid w:val="7DA514D2"/>
    <w:rsid w:val="7DAE6BE3"/>
    <w:rsid w:val="7DC11C5D"/>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157BC"/>
    <w:rsid w:val="7F354370"/>
    <w:rsid w:val="7F397345"/>
    <w:rsid w:val="7F4D1868"/>
    <w:rsid w:val="7F4D3BF2"/>
    <w:rsid w:val="7F542B37"/>
    <w:rsid w:val="7F57085D"/>
    <w:rsid w:val="7F6717E9"/>
    <w:rsid w:val="7F6A77AB"/>
    <w:rsid w:val="7F6B2248"/>
    <w:rsid w:val="7F725E7C"/>
    <w:rsid w:val="7F761ADC"/>
    <w:rsid w:val="7F7D7A8E"/>
    <w:rsid w:val="7F872588"/>
    <w:rsid w:val="7F8725BA"/>
    <w:rsid w:val="7F8C6A8F"/>
    <w:rsid w:val="7F994DB5"/>
    <w:rsid w:val="7F9C175D"/>
    <w:rsid w:val="7F9E0670"/>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numbering" Target="numbering.xml"/><Relationship Id="rId31" Type="http://schemas.openxmlformats.org/officeDocument/2006/relationships/oleObject" Target="embeddings/oleObject8.bin"/><Relationship Id="rId30" Type="http://schemas.openxmlformats.org/officeDocument/2006/relationships/image" Target="media/image12.emf"/><Relationship Id="rId3" Type="http://schemas.openxmlformats.org/officeDocument/2006/relationships/footnotes" Target="footnotes.xml"/><Relationship Id="rId29" Type="http://schemas.openxmlformats.org/officeDocument/2006/relationships/oleObject" Target="embeddings/oleObject7.bin"/><Relationship Id="rId28" Type="http://schemas.openxmlformats.org/officeDocument/2006/relationships/image" Target="media/image11.emf"/><Relationship Id="rId27" Type="http://schemas.openxmlformats.org/officeDocument/2006/relationships/oleObject" Target="embeddings/oleObject6.bin"/><Relationship Id="rId26" Type="http://schemas.openxmlformats.org/officeDocument/2006/relationships/oleObject" Target="embeddings/oleObject5.bin"/><Relationship Id="rId25" Type="http://schemas.openxmlformats.org/officeDocument/2006/relationships/image" Target="media/image10.wmf"/><Relationship Id="rId24" Type="http://schemas.openxmlformats.org/officeDocument/2006/relationships/oleObject" Target="embeddings/oleObject4.bin"/><Relationship Id="rId23" Type="http://schemas.openxmlformats.org/officeDocument/2006/relationships/image" Target="media/image9.wmf"/><Relationship Id="rId22" Type="http://schemas.openxmlformats.org/officeDocument/2006/relationships/oleObject" Target="embeddings/oleObject3.bin"/><Relationship Id="rId21" Type="http://schemas.openxmlformats.org/officeDocument/2006/relationships/image" Target="media/image8.e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1.bin"/><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2025-02-07T08:09:02Z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EAF8F6C2588B4568962C23E86F638826</vt:lpwstr>
  </property>
</Properties>
</file>